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E0CAA" w14:textId="050B15D6" w:rsidR="00A9428B" w:rsidRDefault="00D11795" w:rsidP="00D11795">
      <w:pPr>
        <w:spacing w:after="0" w:line="312" w:lineRule="auto"/>
        <w:jc w:val="center"/>
        <w:rPr>
          <w:rFonts w:ascii="Bierstadt" w:hAnsi="Bierstadt"/>
          <w:b/>
          <w:bCs/>
          <w:u w:val="single"/>
        </w:rPr>
      </w:pPr>
      <w:bookmarkStart w:id="0" w:name="_GoBack"/>
      <w:bookmarkEnd w:id="0"/>
      <w:r w:rsidRPr="00CF7D1B">
        <w:rPr>
          <w:rFonts w:ascii="Bierstadt" w:hAnsi="Bierstadt"/>
          <w:b/>
          <w:bCs/>
          <w:u w:val="single"/>
        </w:rPr>
        <w:t>RESUMEN DE LA</w:t>
      </w:r>
      <w:r w:rsidR="00685F81">
        <w:rPr>
          <w:rFonts w:ascii="Bierstadt" w:hAnsi="Bierstadt"/>
          <w:b/>
          <w:bCs/>
          <w:u w:val="single"/>
        </w:rPr>
        <w:t xml:space="preserve"> PRIMERA</w:t>
      </w:r>
      <w:r w:rsidRPr="00CF7D1B">
        <w:rPr>
          <w:rFonts w:ascii="Bierstadt" w:hAnsi="Bierstadt"/>
          <w:b/>
          <w:bCs/>
          <w:u w:val="single"/>
        </w:rPr>
        <w:t xml:space="preserve"> JORNADA DEL OBSERVATORIO</w:t>
      </w:r>
      <w:r w:rsidR="00A9428B">
        <w:rPr>
          <w:rFonts w:ascii="Bierstadt" w:hAnsi="Bierstadt"/>
          <w:b/>
          <w:bCs/>
          <w:u w:val="single"/>
        </w:rPr>
        <w:t xml:space="preserve"> RAMÓN Y CAJAL -</w:t>
      </w:r>
      <w:r w:rsidRPr="00CF7D1B">
        <w:rPr>
          <w:rFonts w:ascii="Bierstadt" w:hAnsi="Bierstadt"/>
          <w:b/>
          <w:bCs/>
          <w:u w:val="single"/>
        </w:rPr>
        <w:t xml:space="preserve"> ICADE </w:t>
      </w:r>
      <w:r w:rsidR="00A9428B">
        <w:rPr>
          <w:rFonts w:ascii="Bierstadt" w:hAnsi="Bierstadt"/>
          <w:b/>
          <w:bCs/>
          <w:u w:val="single"/>
        </w:rPr>
        <w:t>SOBRE PLANES DE REESTRUCTURACIÓN</w:t>
      </w:r>
    </w:p>
    <w:p w14:paraId="739BDB34" w14:textId="293FA1C7" w:rsidR="00D11795" w:rsidRDefault="00D11795" w:rsidP="00D11795">
      <w:pPr>
        <w:spacing w:after="0" w:line="312" w:lineRule="auto"/>
        <w:jc w:val="center"/>
        <w:rPr>
          <w:rFonts w:ascii="Bierstadt" w:hAnsi="Bierstadt"/>
          <w:b/>
          <w:bCs/>
          <w:u w:val="single"/>
        </w:rPr>
      </w:pPr>
      <w:r w:rsidRPr="00CF7D1B">
        <w:rPr>
          <w:rFonts w:ascii="Bierstadt" w:hAnsi="Bierstadt"/>
          <w:b/>
          <w:bCs/>
          <w:u w:val="single"/>
        </w:rPr>
        <w:t>26 DE NOVIEMBRE DE 2024</w:t>
      </w:r>
    </w:p>
    <w:p w14:paraId="6CFBC36B" w14:textId="65DB40FA" w:rsidR="00D11795" w:rsidRPr="00CF7D1B" w:rsidRDefault="00A9428B" w:rsidP="00A9428B">
      <w:pPr>
        <w:spacing w:after="0" w:line="312" w:lineRule="auto"/>
        <w:rPr>
          <w:rFonts w:ascii="Bierstadt" w:hAnsi="Bierstadt"/>
          <w:b/>
          <w:bCs/>
          <w:u w:val="single"/>
        </w:rPr>
      </w:pPr>
      <w:r>
        <w:rPr>
          <w:noProof/>
          <w:lang w:eastAsia="es-ES"/>
        </w:rPr>
        <w:drawing>
          <wp:anchor distT="0" distB="0" distL="114300" distR="114300" simplePos="0" relativeHeight="251658240" behindDoc="0" locked="0" layoutInCell="1" allowOverlap="1" wp14:anchorId="2A814F6E" wp14:editId="00AB658B">
            <wp:simplePos x="0" y="0"/>
            <wp:positionH relativeFrom="margin">
              <wp:align>right</wp:align>
            </wp:positionH>
            <wp:positionV relativeFrom="paragraph">
              <wp:posOffset>173990</wp:posOffset>
            </wp:positionV>
            <wp:extent cx="5400040" cy="4050030"/>
            <wp:effectExtent l="19050" t="19050" r="10160" b="26670"/>
            <wp:wrapTopAndBottom/>
            <wp:docPr id="146072960" name="Imagen 1" descr="No hay texto alternativo para est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para esta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2CDC69" w14:textId="63ABFCBC" w:rsidR="00C475CE" w:rsidRDefault="00D11795" w:rsidP="00D11795">
      <w:pPr>
        <w:spacing w:after="0" w:line="312" w:lineRule="auto"/>
        <w:jc w:val="both"/>
        <w:rPr>
          <w:rFonts w:ascii="Bierstadt" w:hAnsi="Bierstadt"/>
          <w:b/>
          <w:bCs/>
        </w:rPr>
      </w:pPr>
      <w:r w:rsidRPr="00CF7D1B">
        <w:rPr>
          <w:rFonts w:ascii="Bierstadt" w:hAnsi="Bierstadt"/>
        </w:rPr>
        <w:t xml:space="preserve">El pasado 26 de noviembre de 2024 tuvo lugar la primera </w:t>
      </w:r>
      <w:r w:rsidR="00C475CE">
        <w:rPr>
          <w:rFonts w:ascii="Bierstadt" w:hAnsi="Bierstadt"/>
        </w:rPr>
        <w:t>J</w:t>
      </w:r>
      <w:r w:rsidRPr="00CF7D1B">
        <w:rPr>
          <w:rFonts w:ascii="Bierstadt" w:hAnsi="Bierstadt"/>
        </w:rPr>
        <w:t xml:space="preserve">ornada del </w:t>
      </w:r>
      <w:r w:rsidRPr="00CF7D1B">
        <w:rPr>
          <w:rFonts w:ascii="Bierstadt" w:hAnsi="Bierstadt"/>
          <w:b/>
          <w:bCs/>
        </w:rPr>
        <w:t xml:space="preserve">Observatorio Ramón y Cajal </w:t>
      </w:r>
      <w:r w:rsidR="00A9428B">
        <w:rPr>
          <w:rFonts w:ascii="Bierstadt" w:hAnsi="Bierstadt"/>
          <w:b/>
          <w:bCs/>
        </w:rPr>
        <w:t xml:space="preserve">– ICADE </w:t>
      </w:r>
      <w:r w:rsidRPr="00CF7D1B">
        <w:rPr>
          <w:rFonts w:ascii="Bierstadt" w:hAnsi="Bierstadt"/>
          <w:b/>
          <w:bCs/>
        </w:rPr>
        <w:t>de Reestructuraciones e Insolvencias</w:t>
      </w:r>
      <w:r w:rsidRPr="00CF7D1B">
        <w:rPr>
          <w:rFonts w:ascii="Bierstadt" w:hAnsi="Bierstadt"/>
        </w:rPr>
        <w:t xml:space="preserve">, en colaboración con la Facultad de Derecho de </w:t>
      </w:r>
      <w:r w:rsidRPr="003D3266">
        <w:rPr>
          <w:rFonts w:ascii="Bierstadt" w:hAnsi="Bierstadt"/>
          <w:b/>
          <w:bCs/>
        </w:rPr>
        <w:t>ICADE</w:t>
      </w:r>
      <w:r w:rsidRPr="00CF7D1B">
        <w:rPr>
          <w:rFonts w:ascii="Bierstadt" w:hAnsi="Bierstadt"/>
        </w:rPr>
        <w:t xml:space="preserve">. Este evento, que contó con la participación de destacados expertos del ámbito jurídico y económico, se centró en analizar los avances, desafíos y controversias relacionados con los </w:t>
      </w:r>
      <w:r w:rsidR="00C475CE">
        <w:rPr>
          <w:rFonts w:ascii="Bierstadt" w:hAnsi="Bierstadt"/>
        </w:rPr>
        <w:t>P</w:t>
      </w:r>
      <w:r w:rsidRPr="00CF7D1B">
        <w:rPr>
          <w:rFonts w:ascii="Bierstadt" w:hAnsi="Bierstadt"/>
        </w:rPr>
        <w:t xml:space="preserve">lanes de </w:t>
      </w:r>
      <w:r w:rsidR="00C475CE">
        <w:rPr>
          <w:rFonts w:ascii="Bierstadt" w:hAnsi="Bierstadt"/>
        </w:rPr>
        <w:t>R</w:t>
      </w:r>
      <w:r w:rsidRPr="00CF7D1B">
        <w:rPr>
          <w:rFonts w:ascii="Bierstadt" w:hAnsi="Bierstadt"/>
        </w:rPr>
        <w:t xml:space="preserve">eestructuración tras dos años de la reforma de la Ley Concursal. La </w:t>
      </w:r>
      <w:r w:rsidR="00C475CE">
        <w:rPr>
          <w:rFonts w:ascii="Bierstadt" w:hAnsi="Bierstadt"/>
        </w:rPr>
        <w:t>J</w:t>
      </w:r>
      <w:r w:rsidRPr="00CF7D1B">
        <w:rPr>
          <w:rFonts w:ascii="Bierstadt" w:hAnsi="Bierstadt"/>
        </w:rPr>
        <w:t>ornada se presentó como un espacio para el debate académico y profesional, buscando fomentar un enfoque multidisciplinar en la gestión de la insolvencia y la recuperación empresarial</w:t>
      </w:r>
      <w:r w:rsidRPr="00B50CF3">
        <w:rPr>
          <w:rFonts w:ascii="Bierstadt" w:hAnsi="Bierstadt"/>
        </w:rPr>
        <w:t>.</w:t>
      </w:r>
      <w:r w:rsidRPr="00C475CE">
        <w:rPr>
          <w:rFonts w:ascii="Bierstadt" w:hAnsi="Bierstadt"/>
          <w:b/>
          <w:bCs/>
        </w:rPr>
        <w:t xml:space="preserve"> La Jornada comenzó con unas reflexiones generales sobre la experiencia adquirida tras dos años de vigencia de la actual regulación para seguir a continuación con un análisis más detallado de los puntos más controvertidos sobre (i) el perímetro de afectación del Plan de Reestructuración, (ii) la formación de clases, (iii) la homologación y arrastre así como (iv) el papel de los fondos de inversión.</w:t>
      </w:r>
    </w:p>
    <w:p w14:paraId="72795F99" w14:textId="2203276B" w:rsidR="00685F81" w:rsidRPr="00C475CE" w:rsidRDefault="00D11795" w:rsidP="00D11795">
      <w:pPr>
        <w:spacing w:after="0" w:line="312" w:lineRule="auto"/>
        <w:jc w:val="both"/>
        <w:rPr>
          <w:rFonts w:ascii="Bierstadt" w:hAnsi="Bierstadt"/>
          <w:b/>
          <w:bCs/>
        </w:rPr>
      </w:pPr>
      <w:r w:rsidRPr="00B1105F">
        <w:rPr>
          <w:rFonts w:ascii="Bierstadt" w:hAnsi="Bierstadt"/>
        </w:rPr>
        <w:br/>
      </w:r>
      <w:r w:rsidR="00685F81" w:rsidRPr="00C475CE">
        <w:rPr>
          <w:rFonts w:ascii="Bierstadt" w:hAnsi="Bierstadt"/>
          <w:u w:val="single"/>
        </w:rPr>
        <w:t>Coordinadores</w:t>
      </w:r>
      <w:r w:rsidR="00685F81">
        <w:rPr>
          <w:rFonts w:ascii="Bierstadt" w:hAnsi="Bierstadt"/>
        </w:rPr>
        <w:t>: Miguel Martínez Muñoz (</w:t>
      </w:r>
      <w:r w:rsidR="00BE0042">
        <w:rPr>
          <w:rFonts w:ascii="Bierstadt" w:hAnsi="Bierstadt"/>
        </w:rPr>
        <w:t>Profesor de Derecho Mercantil en ICADE</w:t>
      </w:r>
      <w:r w:rsidR="00685F81">
        <w:rPr>
          <w:rFonts w:ascii="Bierstadt" w:hAnsi="Bierstadt"/>
        </w:rPr>
        <w:t>) y Ramón Fernández-Aceytuno (Socio de Ramón y Cajal Abogados)</w:t>
      </w:r>
      <w:r w:rsidR="00C475CE">
        <w:rPr>
          <w:rFonts w:ascii="Bierstadt" w:hAnsi="Bierstadt"/>
        </w:rPr>
        <w:t>.</w:t>
      </w:r>
    </w:p>
    <w:p w14:paraId="2AE8945A" w14:textId="77777777" w:rsidR="00685F81" w:rsidRDefault="00685F81" w:rsidP="00D11795">
      <w:pPr>
        <w:spacing w:after="0" w:line="312" w:lineRule="auto"/>
        <w:jc w:val="both"/>
        <w:rPr>
          <w:rFonts w:ascii="Bierstadt" w:hAnsi="Bierstadt"/>
        </w:rPr>
      </w:pPr>
    </w:p>
    <w:p w14:paraId="1184C1CE" w14:textId="21D2E899" w:rsidR="00D11795" w:rsidRDefault="00685F81" w:rsidP="00D11795">
      <w:pPr>
        <w:spacing w:after="0" w:line="312" w:lineRule="auto"/>
        <w:jc w:val="both"/>
        <w:rPr>
          <w:rFonts w:ascii="Bierstadt" w:hAnsi="Bierstadt"/>
        </w:rPr>
      </w:pPr>
      <w:r w:rsidRPr="00C475CE">
        <w:rPr>
          <w:rFonts w:ascii="Bierstadt" w:hAnsi="Bierstadt"/>
          <w:u w:val="single"/>
        </w:rPr>
        <w:lastRenderedPageBreak/>
        <w:t>Ponentes</w:t>
      </w:r>
      <w:r>
        <w:rPr>
          <w:rFonts w:ascii="Bierstadt" w:hAnsi="Bierstadt"/>
        </w:rPr>
        <w:t>: Fedra Valencia (Socia de Cuatrecasas), Luis Miguel Sánchez</w:t>
      </w:r>
      <w:r w:rsidR="00D83670">
        <w:rPr>
          <w:rFonts w:ascii="Bierstadt" w:hAnsi="Bierstadt"/>
        </w:rPr>
        <w:t xml:space="preserve"> </w:t>
      </w:r>
      <w:r>
        <w:rPr>
          <w:rFonts w:ascii="Bierstadt" w:hAnsi="Bierstadt"/>
        </w:rPr>
        <w:t xml:space="preserve">Velo (Director Asesoría Jurídica de Reestructuraciones </w:t>
      </w:r>
      <w:r w:rsidR="00BE0042">
        <w:rPr>
          <w:rFonts w:ascii="Bierstadt" w:hAnsi="Bierstadt"/>
        </w:rPr>
        <w:t xml:space="preserve">y Situaciones Especiales </w:t>
      </w:r>
      <w:r>
        <w:rPr>
          <w:rFonts w:ascii="Bierstadt" w:hAnsi="Bierstadt"/>
        </w:rPr>
        <w:t>en Banco Santander)</w:t>
      </w:r>
      <w:r w:rsidR="00D11795" w:rsidRPr="00B1105F">
        <w:rPr>
          <w:rFonts w:ascii="Bierstadt" w:hAnsi="Bierstadt"/>
        </w:rPr>
        <w:t>,</w:t>
      </w:r>
      <w:r>
        <w:rPr>
          <w:rFonts w:ascii="Bierstadt" w:hAnsi="Bierstadt"/>
        </w:rPr>
        <w:t xml:space="preserve"> Luis Martín </w:t>
      </w:r>
      <w:r w:rsidR="00D83670">
        <w:rPr>
          <w:rFonts w:ascii="Bierstadt" w:hAnsi="Bierstadt"/>
        </w:rPr>
        <w:t xml:space="preserve">(Socio de Abencys) y José María Rigau (Socio </w:t>
      </w:r>
      <w:r w:rsidR="00BE0042">
        <w:rPr>
          <w:rFonts w:ascii="Bierstadt" w:hAnsi="Bierstadt"/>
        </w:rPr>
        <w:t xml:space="preserve">director </w:t>
      </w:r>
      <w:r w:rsidR="00D83670">
        <w:rPr>
          <w:rFonts w:ascii="Bierstadt" w:hAnsi="Bierstadt"/>
        </w:rPr>
        <w:t xml:space="preserve">de </w:t>
      </w:r>
      <w:proofErr w:type="spellStart"/>
      <w:r w:rsidR="00D83670">
        <w:rPr>
          <w:rFonts w:ascii="Bierstadt" w:hAnsi="Bierstadt"/>
        </w:rPr>
        <w:t>Endurance</w:t>
      </w:r>
      <w:proofErr w:type="spellEnd"/>
      <w:r w:rsidR="00BE0042">
        <w:rPr>
          <w:rFonts w:ascii="Bierstadt" w:hAnsi="Bierstadt"/>
        </w:rPr>
        <w:t xml:space="preserve"> </w:t>
      </w:r>
      <w:proofErr w:type="spellStart"/>
      <w:r w:rsidR="00BE0042">
        <w:rPr>
          <w:rFonts w:ascii="Bierstadt" w:hAnsi="Bierstadt"/>
        </w:rPr>
        <w:t>Partners</w:t>
      </w:r>
      <w:proofErr w:type="spellEnd"/>
      <w:r w:rsidR="00D83670">
        <w:rPr>
          <w:rFonts w:ascii="Bierstadt" w:hAnsi="Bierstadt"/>
        </w:rPr>
        <w:t xml:space="preserve">). </w:t>
      </w:r>
    </w:p>
    <w:p w14:paraId="2D0BBEE6" w14:textId="77777777" w:rsidR="00D11795" w:rsidRPr="00CF7D1B" w:rsidRDefault="00D11795" w:rsidP="00D11795">
      <w:pPr>
        <w:spacing w:after="0" w:line="312" w:lineRule="auto"/>
        <w:jc w:val="both"/>
        <w:rPr>
          <w:rFonts w:ascii="Bierstadt" w:hAnsi="Bierstadt"/>
        </w:rPr>
      </w:pPr>
    </w:p>
    <w:p w14:paraId="24BC7642" w14:textId="63A1A15F" w:rsidR="00D83670" w:rsidRDefault="00D83670" w:rsidP="00D83670">
      <w:pPr>
        <w:pBdr>
          <w:bottom w:val="single" w:sz="12" w:space="4" w:color="auto"/>
        </w:pBdr>
        <w:spacing w:after="0" w:line="312" w:lineRule="auto"/>
        <w:jc w:val="both"/>
        <w:rPr>
          <w:rFonts w:ascii="Bierstadt" w:hAnsi="Bierstadt"/>
          <w:b/>
          <w:bCs/>
        </w:rPr>
      </w:pPr>
      <w:r>
        <w:rPr>
          <w:rFonts w:ascii="Bierstadt" w:hAnsi="Bierstadt"/>
          <w:b/>
          <w:bCs/>
        </w:rPr>
        <w:t xml:space="preserve">Reflexiones iniciales: Dos años de la reforma concursal </w:t>
      </w:r>
    </w:p>
    <w:p w14:paraId="4A554BF2" w14:textId="77777777" w:rsidR="00D11795" w:rsidRPr="00CF7D1B" w:rsidRDefault="00D11795" w:rsidP="00D11795">
      <w:pPr>
        <w:spacing w:after="0" w:line="312" w:lineRule="auto"/>
        <w:jc w:val="both"/>
        <w:rPr>
          <w:rFonts w:ascii="Bierstadt" w:hAnsi="Bierstadt"/>
          <w:b/>
          <w:bCs/>
        </w:rPr>
      </w:pPr>
    </w:p>
    <w:p w14:paraId="454F5257" w14:textId="13241B16" w:rsidR="00D11795" w:rsidRDefault="00D11795" w:rsidP="00D11795">
      <w:pPr>
        <w:spacing w:after="0" w:line="312" w:lineRule="auto"/>
        <w:jc w:val="both"/>
        <w:rPr>
          <w:rFonts w:ascii="Bierstadt" w:hAnsi="Bierstadt"/>
        </w:rPr>
      </w:pPr>
      <w:r w:rsidRPr="00CF7D1B">
        <w:rPr>
          <w:rFonts w:ascii="Bierstadt" w:hAnsi="Bierstadt"/>
        </w:rPr>
        <w:t xml:space="preserve">La </w:t>
      </w:r>
      <w:r w:rsidR="00C475CE">
        <w:rPr>
          <w:rFonts w:ascii="Bierstadt" w:hAnsi="Bierstadt"/>
        </w:rPr>
        <w:t>J</w:t>
      </w:r>
      <w:r w:rsidRPr="00CF7D1B">
        <w:rPr>
          <w:rFonts w:ascii="Bierstadt" w:hAnsi="Bierstadt"/>
        </w:rPr>
        <w:t xml:space="preserve">ornada inició con una evaluación del impacto de la reforma de la Ley Concursal de 2022, un marco que ha transformado significativamente el tratamiento de las insolvencias en España. Los ponentes destacaron que esta reforma representa un cambio profundo en la cultura jurídica y empresarial del país, al priorizar la continuidad de las empresas y la preservación del empleo frente a la liquidación inmediata. </w:t>
      </w:r>
      <w:r>
        <w:rPr>
          <w:rFonts w:ascii="Bierstadt" w:hAnsi="Bierstadt"/>
        </w:rPr>
        <w:t xml:space="preserve">Hay que arrancar con una visión positiva. </w:t>
      </w:r>
      <w:r w:rsidRPr="00CF7D1B">
        <w:rPr>
          <w:rFonts w:ascii="Bierstadt" w:hAnsi="Bierstadt"/>
        </w:rPr>
        <w:t>Este cambio de paradigma ha sido fundamental para adaptar el sistema concursal español a los estándares europeos y para fomentar una visión más pragmática y moderna de las reestructuraciones.</w:t>
      </w:r>
    </w:p>
    <w:p w14:paraId="0F169BC4" w14:textId="77777777" w:rsidR="00D11795" w:rsidRPr="00CF7D1B" w:rsidRDefault="00D11795" w:rsidP="00D11795">
      <w:pPr>
        <w:spacing w:after="0" w:line="312" w:lineRule="auto"/>
        <w:jc w:val="both"/>
        <w:rPr>
          <w:rFonts w:ascii="Bierstadt" w:hAnsi="Bierstadt"/>
        </w:rPr>
      </w:pPr>
    </w:p>
    <w:p w14:paraId="71625E9B" w14:textId="15A0CECA" w:rsidR="00D11795" w:rsidRDefault="00D11795" w:rsidP="00D11795">
      <w:pPr>
        <w:spacing w:after="0" w:line="312" w:lineRule="auto"/>
        <w:jc w:val="both"/>
        <w:rPr>
          <w:rFonts w:ascii="Bierstadt" w:hAnsi="Bierstadt"/>
        </w:rPr>
      </w:pPr>
      <w:r w:rsidRPr="00CF7D1B">
        <w:rPr>
          <w:rFonts w:ascii="Bierstadt" w:hAnsi="Bierstadt"/>
        </w:rPr>
        <w:t xml:space="preserve">A pesar de estos avances, los participantes identificaron importantes desafíos que limitan la plena efectividad del marco normativo. La lentitud judicial sigue siendo una de las principales preocupaciones, ya que los procesos de reestructuración, por su naturaleza, requieren agilidad para evitar el deterioro de las empresas en crisis. Además, la falta de unificación jurisprudencial, resultado de interpretaciones divergentes entre los </w:t>
      </w:r>
      <w:r>
        <w:rPr>
          <w:rFonts w:ascii="Bierstadt" w:hAnsi="Bierstadt"/>
        </w:rPr>
        <w:t>Juzgados de lo Mercantil y las Audiencias Provinciales</w:t>
      </w:r>
      <w:r w:rsidRPr="00CF7D1B">
        <w:rPr>
          <w:rFonts w:ascii="Bierstadt" w:hAnsi="Bierstadt"/>
        </w:rPr>
        <w:t xml:space="preserve">, genera inseguridad jurídica y dificultades prácticas para los operadores. Otro aspecto crítico señalado fue la complejidad técnica de los </w:t>
      </w:r>
      <w:r w:rsidR="00C475CE">
        <w:rPr>
          <w:rFonts w:ascii="Bierstadt" w:hAnsi="Bierstadt"/>
        </w:rPr>
        <w:t>P</w:t>
      </w:r>
      <w:r w:rsidRPr="00CF7D1B">
        <w:rPr>
          <w:rFonts w:ascii="Bierstadt" w:hAnsi="Bierstadt"/>
        </w:rPr>
        <w:t xml:space="preserve">lanes de </w:t>
      </w:r>
      <w:r w:rsidR="00C475CE">
        <w:rPr>
          <w:rFonts w:ascii="Bierstadt" w:hAnsi="Bierstadt"/>
        </w:rPr>
        <w:t>R</w:t>
      </w:r>
      <w:r w:rsidRPr="00CF7D1B">
        <w:rPr>
          <w:rFonts w:ascii="Bierstadt" w:hAnsi="Bierstadt"/>
        </w:rPr>
        <w:t>eestructuración, que demanda un nivel de especialización que aún no está plenamente integrado ni en los programas académicos ni en la formación profesional.</w:t>
      </w:r>
    </w:p>
    <w:p w14:paraId="65D4472F" w14:textId="77777777" w:rsidR="00D11795" w:rsidRPr="00CF7D1B" w:rsidRDefault="00D11795" w:rsidP="00D11795">
      <w:pPr>
        <w:spacing w:after="0" w:line="312" w:lineRule="auto"/>
        <w:jc w:val="both"/>
        <w:rPr>
          <w:rFonts w:ascii="Bierstadt" w:hAnsi="Bierstadt"/>
        </w:rPr>
      </w:pPr>
    </w:p>
    <w:p w14:paraId="1BBBBF0D" w14:textId="77777777" w:rsidR="00D11795" w:rsidRDefault="00D11795" w:rsidP="00D11795">
      <w:pPr>
        <w:spacing w:after="0" w:line="312" w:lineRule="auto"/>
        <w:jc w:val="both"/>
        <w:rPr>
          <w:rFonts w:ascii="Bierstadt" w:hAnsi="Bierstadt"/>
        </w:rPr>
      </w:pPr>
      <w:r w:rsidRPr="00CF7D1B">
        <w:rPr>
          <w:rFonts w:ascii="Bierstadt" w:hAnsi="Bierstadt"/>
        </w:rPr>
        <w:t>No obstante, el consenso general fue que el cambio cultural hacia una mayor aceptación del fracaso empresarial como parte del ciclo económico es uno de los mayores logros de la reforma, mitigando el estigma que históricamente ha recaído sobre los deudores en insolvencia.</w:t>
      </w:r>
    </w:p>
    <w:p w14:paraId="0C9D1B8F" w14:textId="77777777" w:rsidR="00D11795" w:rsidRPr="00CF7D1B" w:rsidRDefault="00D11795" w:rsidP="00D11795">
      <w:pPr>
        <w:spacing w:after="0" w:line="312" w:lineRule="auto"/>
        <w:jc w:val="both"/>
        <w:rPr>
          <w:rFonts w:ascii="Bierstadt" w:hAnsi="Bierstadt"/>
        </w:rPr>
      </w:pPr>
    </w:p>
    <w:p w14:paraId="0236FB85" w14:textId="77777777" w:rsidR="00D11795" w:rsidRDefault="00D11795" w:rsidP="00D83670">
      <w:pPr>
        <w:pBdr>
          <w:bottom w:val="single" w:sz="12" w:space="4" w:color="auto"/>
        </w:pBdr>
        <w:spacing w:after="0" w:line="312" w:lineRule="auto"/>
        <w:jc w:val="both"/>
        <w:rPr>
          <w:rFonts w:ascii="Bierstadt" w:hAnsi="Bierstadt"/>
          <w:b/>
          <w:bCs/>
        </w:rPr>
      </w:pPr>
      <w:r w:rsidRPr="00CF7D1B">
        <w:rPr>
          <w:rFonts w:ascii="Bierstadt" w:hAnsi="Bierstadt"/>
          <w:b/>
          <w:bCs/>
        </w:rPr>
        <w:t>Análisis de los puntos clave del debate</w:t>
      </w:r>
    </w:p>
    <w:p w14:paraId="125BC422" w14:textId="77777777" w:rsidR="00D11795" w:rsidRDefault="00D11795" w:rsidP="00D11795">
      <w:pPr>
        <w:spacing w:after="0" w:line="312" w:lineRule="auto"/>
        <w:jc w:val="both"/>
        <w:rPr>
          <w:rFonts w:ascii="Bierstadt" w:hAnsi="Bierstadt"/>
          <w:b/>
          <w:bCs/>
        </w:rPr>
      </w:pPr>
    </w:p>
    <w:p w14:paraId="65800346" w14:textId="77777777" w:rsidR="00D11795" w:rsidRDefault="00D11795" w:rsidP="00D11795">
      <w:pPr>
        <w:spacing w:after="0" w:line="312" w:lineRule="auto"/>
        <w:jc w:val="both"/>
        <w:rPr>
          <w:rFonts w:ascii="Bierstadt" w:hAnsi="Bierstadt"/>
          <w:b/>
          <w:bCs/>
        </w:rPr>
      </w:pPr>
      <w:r w:rsidRPr="00A30C66">
        <w:rPr>
          <w:rFonts w:ascii="Bierstadt" w:hAnsi="Bierstadt"/>
          <w:b/>
          <w:bCs/>
        </w:rPr>
        <w:t xml:space="preserve">(i) </w:t>
      </w:r>
      <w:r>
        <w:rPr>
          <w:rFonts w:ascii="Bierstadt" w:hAnsi="Bierstadt"/>
          <w:b/>
          <w:bCs/>
        </w:rPr>
        <w:t>El p</w:t>
      </w:r>
      <w:r w:rsidRPr="00A30C66">
        <w:rPr>
          <w:rFonts w:ascii="Bierstadt" w:hAnsi="Bierstadt"/>
          <w:b/>
          <w:bCs/>
        </w:rPr>
        <w:t>erímetro de afectación del Plan de Reestructuración</w:t>
      </w:r>
    </w:p>
    <w:p w14:paraId="7B0A8ABD" w14:textId="77777777" w:rsidR="00D11795" w:rsidRPr="00A30C66" w:rsidRDefault="00D11795" w:rsidP="00D11795">
      <w:pPr>
        <w:spacing w:after="0" w:line="312" w:lineRule="auto"/>
        <w:jc w:val="both"/>
        <w:rPr>
          <w:rFonts w:ascii="Bierstadt" w:hAnsi="Bierstadt"/>
          <w:b/>
          <w:bCs/>
        </w:rPr>
      </w:pPr>
    </w:p>
    <w:p w14:paraId="5E796D98" w14:textId="4450CE77" w:rsidR="00D11795" w:rsidRPr="00A30C66" w:rsidRDefault="00D11795" w:rsidP="00D11795">
      <w:pPr>
        <w:spacing w:after="0" w:line="312" w:lineRule="auto"/>
        <w:jc w:val="both"/>
        <w:rPr>
          <w:rFonts w:ascii="Bierstadt" w:hAnsi="Bierstadt"/>
        </w:rPr>
      </w:pPr>
      <w:r w:rsidRPr="00A30C66">
        <w:rPr>
          <w:rFonts w:ascii="Bierstadt" w:hAnsi="Bierstadt"/>
        </w:rPr>
        <w:t>El perímetro de afectación,</w:t>
      </w:r>
      <w:r w:rsidR="00C475CE">
        <w:rPr>
          <w:rFonts w:ascii="Bierstadt" w:hAnsi="Bierstadt"/>
        </w:rPr>
        <w:t xml:space="preserve"> </w:t>
      </w:r>
      <w:r w:rsidRPr="00A30C66">
        <w:rPr>
          <w:rFonts w:ascii="Bierstadt" w:hAnsi="Bierstadt"/>
        </w:rPr>
        <w:t xml:space="preserve">como el conjunto de acreedores que serán incluidos en el </w:t>
      </w:r>
      <w:r w:rsidR="00C475CE">
        <w:rPr>
          <w:rFonts w:ascii="Bierstadt" w:hAnsi="Bierstadt"/>
        </w:rPr>
        <w:t>P</w:t>
      </w:r>
      <w:r w:rsidRPr="00A30C66">
        <w:rPr>
          <w:rFonts w:ascii="Bierstadt" w:hAnsi="Bierstadt"/>
        </w:rPr>
        <w:t xml:space="preserve">lan de </w:t>
      </w:r>
      <w:r w:rsidR="00C475CE">
        <w:rPr>
          <w:rFonts w:ascii="Bierstadt" w:hAnsi="Bierstadt"/>
        </w:rPr>
        <w:t>R</w:t>
      </w:r>
      <w:r w:rsidRPr="00A30C66">
        <w:rPr>
          <w:rFonts w:ascii="Bierstadt" w:hAnsi="Bierstadt"/>
        </w:rPr>
        <w:t xml:space="preserve">eestructuración, fue uno de los aspectos más debatidos de la </w:t>
      </w:r>
      <w:r w:rsidR="00C475CE">
        <w:rPr>
          <w:rFonts w:ascii="Bierstadt" w:hAnsi="Bierstadt"/>
        </w:rPr>
        <w:t>J</w:t>
      </w:r>
      <w:r w:rsidRPr="00A30C66">
        <w:rPr>
          <w:rFonts w:ascii="Bierstadt" w:hAnsi="Bierstadt"/>
        </w:rPr>
        <w:t xml:space="preserve">ornada. Se reconoció que esta delimitación es crucial para la viabilidad de los </w:t>
      </w:r>
      <w:r w:rsidR="00C475CE">
        <w:rPr>
          <w:rFonts w:ascii="Bierstadt" w:hAnsi="Bierstadt"/>
        </w:rPr>
        <w:t>P</w:t>
      </w:r>
      <w:r w:rsidRPr="00A30C66">
        <w:rPr>
          <w:rFonts w:ascii="Bierstadt" w:hAnsi="Bierstadt"/>
        </w:rPr>
        <w:t>lanes, pero también plantea numerosos desafíos prácticos y jurídicos.</w:t>
      </w:r>
    </w:p>
    <w:p w14:paraId="736E40A6" w14:textId="77777777" w:rsidR="00D11795" w:rsidRPr="00A30C66" w:rsidRDefault="00D11795" w:rsidP="00D11795">
      <w:pPr>
        <w:spacing w:after="0" w:line="312" w:lineRule="auto"/>
        <w:jc w:val="both"/>
        <w:rPr>
          <w:rFonts w:ascii="Bierstadt" w:hAnsi="Bierstadt"/>
        </w:rPr>
      </w:pPr>
    </w:p>
    <w:p w14:paraId="67B317BD" w14:textId="0417605E" w:rsidR="00D11795" w:rsidRPr="00A30C66" w:rsidRDefault="00D11795" w:rsidP="00D11795">
      <w:pPr>
        <w:spacing w:after="0" w:line="312" w:lineRule="auto"/>
        <w:jc w:val="both"/>
        <w:rPr>
          <w:rFonts w:ascii="Bierstadt" w:hAnsi="Bierstadt"/>
        </w:rPr>
      </w:pPr>
      <w:r w:rsidRPr="00A30C66">
        <w:rPr>
          <w:rFonts w:ascii="Bierstadt" w:hAnsi="Bierstadt"/>
        </w:rPr>
        <w:t xml:space="preserve">Los participantes discutieron si el control judicial debe extenderse al perímetro de afectación. Mientras algunos defendieron que los </w:t>
      </w:r>
      <w:r w:rsidR="00696CE6">
        <w:rPr>
          <w:rFonts w:ascii="Bierstadt" w:hAnsi="Bierstadt"/>
        </w:rPr>
        <w:t>J</w:t>
      </w:r>
      <w:r w:rsidRPr="00A30C66">
        <w:rPr>
          <w:rFonts w:ascii="Bierstadt" w:hAnsi="Bierstadt"/>
        </w:rPr>
        <w:t xml:space="preserve">ueces no deben intervenir en esta decisión para preservar la simplicidad procesal y el dinamismo de los </w:t>
      </w:r>
      <w:r w:rsidR="00C475CE">
        <w:rPr>
          <w:rFonts w:ascii="Bierstadt" w:hAnsi="Bierstadt"/>
        </w:rPr>
        <w:t>P</w:t>
      </w:r>
      <w:r w:rsidRPr="00A30C66">
        <w:rPr>
          <w:rFonts w:ascii="Bierstadt" w:hAnsi="Bierstadt"/>
        </w:rPr>
        <w:t>lanes, la postura predominante sostuvo que un control judicial sustantivo es necesario para evitar abusos. Este control podría basarse en las reglas de formación de clases o en principios como</w:t>
      </w:r>
      <w:r>
        <w:rPr>
          <w:rFonts w:ascii="Bierstadt" w:hAnsi="Bierstadt"/>
        </w:rPr>
        <w:t xml:space="preserve"> el test de resistencia,</w:t>
      </w:r>
      <w:r w:rsidRPr="00A30C66">
        <w:rPr>
          <w:rFonts w:ascii="Bierstadt" w:hAnsi="Bierstadt"/>
        </w:rPr>
        <w:t xml:space="preserve"> la equidad y la no discriminación.</w:t>
      </w:r>
    </w:p>
    <w:p w14:paraId="5CA29C2E" w14:textId="77777777" w:rsidR="00D11795" w:rsidRPr="00A30C66" w:rsidRDefault="00D11795" w:rsidP="00D11795">
      <w:pPr>
        <w:spacing w:after="0" w:line="312" w:lineRule="auto"/>
        <w:jc w:val="both"/>
        <w:rPr>
          <w:rFonts w:ascii="Bierstadt" w:hAnsi="Bierstadt"/>
        </w:rPr>
      </w:pPr>
    </w:p>
    <w:p w14:paraId="654E677A" w14:textId="01BD8AE0" w:rsidR="00D11795" w:rsidRDefault="00D11795" w:rsidP="00D11795">
      <w:pPr>
        <w:spacing w:after="0" w:line="312" w:lineRule="auto"/>
        <w:jc w:val="both"/>
        <w:rPr>
          <w:rFonts w:ascii="Bierstadt" w:hAnsi="Bierstadt"/>
        </w:rPr>
      </w:pPr>
      <w:r>
        <w:rPr>
          <w:rFonts w:ascii="Bierstadt" w:hAnsi="Bierstadt"/>
        </w:rPr>
        <w:t xml:space="preserve">En la mesa surgió </w:t>
      </w:r>
      <w:r w:rsidRPr="00341097">
        <w:rPr>
          <w:rFonts w:ascii="Bierstadt" w:hAnsi="Bierstadt"/>
        </w:rPr>
        <w:t xml:space="preserve">la cuestión de por qué el perímetro </w:t>
      </w:r>
      <w:r>
        <w:rPr>
          <w:rFonts w:ascii="Bierstadt" w:hAnsi="Bierstadt"/>
        </w:rPr>
        <w:t>debe</w:t>
      </w:r>
      <w:r w:rsidRPr="00341097">
        <w:rPr>
          <w:rFonts w:ascii="Bierstadt" w:hAnsi="Bierstadt"/>
        </w:rPr>
        <w:t xml:space="preserve"> ser tan flexible, permitiendo que el deudor elija libremente a los acreedores que formarán parte de dicho perímetro. Esta flexibilidad </w:t>
      </w:r>
      <w:r>
        <w:rPr>
          <w:rFonts w:ascii="Bierstadt" w:hAnsi="Bierstadt"/>
        </w:rPr>
        <w:t>fue</w:t>
      </w:r>
      <w:r w:rsidRPr="00341097">
        <w:rPr>
          <w:rFonts w:ascii="Bierstadt" w:hAnsi="Bierstadt"/>
        </w:rPr>
        <w:t xml:space="preserve"> criticada, especialmente porque afecta directamente a los acreedores que deben asumir los sacrificios en el marco del </w:t>
      </w:r>
      <w:r w:rsidR="00C475CE">
        <w:rPr>
          <w:rFonts w:ascii="Bierstadt" w:hAnsi="Bierstadt"/>
        </w:rPr>
        <w:t>P</w:t>
      </w:r>
      <w:r w:rsidRPr="00341097">
        <w:rPr>
          <w:rFonts w:ascii="Bierstadt" w:hAnsi="Bierstadt"/>
        </w:rPr>
        <w:t xml:space="preserve">lan de </w:t>
      </w:r>
      <w:r w:rsidR="00C475CE">
        <w:rPr>
          <w:rFonts w:ascii="Bierstadt" w:hAnsi="Bierstadt"/>
        </w:rPr>
        <w:t>R</w:t>
      </w:r>
      <w:r w:rsidRPr="00341097">
        <w:rPr>
          <w:rFonts w:ascii="Bierstadt" w:hAnsi="Bierstadt"/>
        </w:rPr>
        <w:t xml:space="preserve">eestructuración. </w:t>
      </w:r>
      <w:r>
        <w:rPr>
          <w:rFonts w:ascii="Bierstadt" w:hAnsi="Bierstadt"/>
        </w:rPr>
        <w:t>Bajo el paraguas d</w:t>
      </w:r>
      <w:r w:rsidRPr="00341097">
        <w:rPr>
          <w:rFonts w:ascii="Bierstadt" w:hAnsi="Bierstadt"/>
        </w:rPr>
        <w:t>el artículo 654.6 del TRLC, estas críticas se intensifican cuando los sacrificios impuestos son desproporcionadamente mayores a lo que deberían ser.</w:t>
      </w:r>
    </w:p>
    <w:p w14:paraId="0BE49A33" w14:textId="77777777" w:rsidR="00D11795" w:rsidRDefault="00D11795" w:rsidP="00D11795">
      <w:pPr>
        <w:spacing w:after="0" w:line="312" w:lineRule="auto"/>
        <w:jc w:val="both"/>
        <w:rPr>
          <w:rFonts w:ascii="Bierstadt" w:hAnsi="Bierstadt"/>
        </w:rPr>
      </w:pPr>
    </w:p>
    <w:p w14:paraId="5BFC5910" w14:textId="1C03E828" w:rsidR="00D11795" w:rsidRPr="00A30C66" w:rsidRDefault="00D11795" w:rsidP="00D11795">
      <w:pPr>
        <w:spacing w:after="0" w:line="312" w:lineRule="auto"/>
        <w:jc w:val="both"/>
        <w:rPr>
          <w:rFonts w:ascii="Bierstadt" w:hAnsi="Bierstadt"/>
        </w:rPr>
      </w:pPr>
      <w:r w:rsidRPr="00A30C66">
        <w:rPr>
          <w:rFonts w:ascii="Bierstadt" w:hAnsi="Bierstadt"/>
        </w:rPr>
        <w:t xml:space="preserve">La inclusión de créditos comerciales y públicos en los </w:t>
      </w:r>
      <w:r w:rsidR="00C475CE">
        <w:rPr>
          <w:rFonts w:ascii="Bierstadt" w:hAnsi="Bierstadt"/>
        </w:rPr>
        <w:t>P</w:t>
      </w:r>
      <w:r w:rsidRPr="00A30C66">
        <w:rPr>
          <w:rFonts w:ascii="Bierstadt" w:hAnsi="Bierstadt"/>
        </w:rPr>
        <w:t>lanes se destacó como una tendencia emergente, aunque no exenta de dificultades. En particular, se debatió cómo la participación del crédito público, dividido en distintas categorías (ordinario, privilegiado y subordinado), complica la estructuración del perímetro y puede generar conflictos entre acreedores.</w:t>
      </w:r>
    </w:p>
    <w:p w14:paraId="7AF1A00A" w14:textId="77777777" w:rsidR="00D11795" w:rsidRPr="00A30C66" w:rsidRDefault="00D11795" w:rsidP="00D11795">
      <w:pPr>
        <w:spacing w:after="0" w:line="312" w:lineRule="auto"/>
        <w:jc w:val="both"/>
        <w:rPr>
          <w:rFonts w:ascii="Bierstadt" w:hAnsi="Bierstadt"/>
        </w:rPr>
      </w:pPr>
    </w:p>
    <w:p w14:paraId="229588AF" w14:textId="77777777" w:rsidR="00D11795" w:rsidRDefault="00D11795" w:rsidP="00D11795">
      <w:pPr>
        <w:spacing w:after="0" w:line="312" w:lineRule="auto"/>
        <w:jc w:val="both"/>
        <w:rPr>
          <w:rFonts w:ascii="Bierstadt" w:hAnsi="Bierstadt"/>
          <w:b/>
          <w:bCs/>
        </w:rPr>
      </w:pPr>
      <w:r w:rsidRPr="00A30C66">
        <w:rPr>
          <w:rFonts w:ascii="Bierstadt" w:hAnsi="Bierstadt"/>
          <w:b/>
          <w:bCs/>
        </w:rPr>
        <w:t xml:space="preserve">(ii) </w:t>
      </w:r>
      <w:r>
        <w:rPr>
          <w:rFonts w:ascii="Bierstadt" w:hAnsi="Bierstadt"/>
          <w:b/>
          <w:bCs/>
        </w:rPr>
        <w:t>La f</w:t>
      </w:r>
      <w:r w:rsidRPr="00A30C66">
        <w:rPr>
          <w:rFonts w:ascii="Bierstadt" w:hAnsi="Bierstadt"/>
          <w:b/>
          <w:bCs/>
        </w:rPr>
        <w:t>ormación de clases</w:t>
      </w:r>
    </w:p>
    <w:p w14:paraId="5DA96E86" w14:textId="77777777" w:rsidR="00D11795" w:rsidRPr="00A30C66" w:rsidRDefault="00D11795" w:rsidP="00D11795">
      <w:pPr>
        <w:spacing w:after="0" w:line="312" w:lineRule="auto"/>
        <w:jc w:val="both"/>
        <w:rPr>
          <w:rFonts w:ascii="Bierstadt" w:hAnsi="Bierstadt"/>
          <w:b/>
          <w:bCs/>
        </w:rPr>
      </w:pPr>
    </w:p>
    <w:p w14:paraId="4801F96C" w14:textId="2C8A4EF4" w:rsidR="00D11795" w:rsidRPr="00A30C66" w:rsidRDefault="00D11795" w:rsidP="00D11795">
      <w:pPr>
        <w:spacing w:after="0" w:line="312" w:lineRule="auto"/>
        <w:jc w:val="both"/>
        <w:rPr>
          <w:rFonts w:ascii="Bierstadt" w:hAnsi="Bierstadt"/>
        </w:rPr>
      </w:pPr>
      <w:r w:rsidRPr="00A30C66">
        <w:rPr>
          <w:rFonts w:ascii="Bierstadt" w:hAnsi="Bierstadt"/>
        </w:rPr>
        <w:t xml:space="preserve">La formación de clases, un mecanismo clave para garantizar la representatividad y el equilibrio en los </w:t>
      </w:r>
      <w:r w:rsidR="00C475CE">
        <w:rPr>
          <w:rFonts w:ascii="Bierstadt" w:hAnsi="Bierstadt"/>
        </w:rPr>
        <w:t>P</w:t>
      </w:r>
      <w:r w:rsidRPr="00A30C66">
        <w:rPr>
          <w:rFonts w:ascii="Bierstadt" w:hAnsi="Bierstadt"/>
        </w:rPr>
        <w:t xml:space="preserve">lanes de </w:t>
      </w:r>
      <w:r w:rsidR="00C475CE">
        <w:rPr>
          <w:rFonts w:ascii="Bierstadt" w:hAnsi="Bierstadt"/>
        </w:rPr>
        <w:t>R</w:t>
      </w:r>
      <w:r w:rsidRPr="00A30C66">
        <w:rPr>
          <w:rFonts w:ascii="Bierstadt" w:hAnsi="Bierstadt"/>
        </w:rPr>
        <w:t xml:space="preserve">eestructuración, fue objeto de un análisis detallado. Los ponentes señalaron que la flexibilidad introducida por la </w:t>
      </w:r>
      <w:r w:rsidR="00C475CE">
        <w:rPr>
          <w:rFonts w:ascii="Bierstadt" w:hAnsi="Bierstadt"/>
        </w:rPr>
        <w:t>L</w:t>
      </w:r>
      <w:r w:rsidRPr="00A30C66">
        <w:rPr>
          <w:rFonts w:ascii="Bierstadt" w:hAnsi="Bierstadt"/>
        </w:rPr>
        <w:t xml:space="preserve">ey facilita la creación de </w:t>
      </w:r>
      <w:r w:rsidR="00C475CE">
        <w:rPr>
          <w:rFonts w:ascii="Bierstadt" w:hAnsi="Bierstadt"/>
        </w:rPr>
        <w:t>P</w:t>
      </w:r>
      <w:r w:rsidRPr="00A30C66">
        <w:rPr>
          <w:rFonts w:ascii="Bierstadt" w:hAnsi="Bierstadt"/>
        </w:rPr>
        <w:t>lanes más inclusivos, pero también abre la puerta a prácticas cuestionables.</w:t>
      </w:r>
    </w:p>
    <w:p w14:paraId="0ECA8FE9" w14:textId="77777777" w:rsidR="00D11795" w:rsidRPr="00A30C66" w:rsidRDefault="00D11795" w:rsidP="00D11795">
      <w:pPr>
        <w:spacing w:after="0" w:line="312" w:lineRule="auto"/>
        <w:jc w:val="both"/>
        <w:rPr>
          <w:rFonts w:ascii="Bierstadt" w:hAnsi="Bierstadt"/>
        </w:rPr>
      </w:pPr>
    </w:p>
    <w:p w14:paraId="0BFF91CC" w14:textId="15052280" w:rsidR="00D11795" w:rsidRDefault="00D11795" w:rsidP="00D11795">
      <w:pPr>
        <w:spacing w:after="0" w:line="312" w:lineRule="auto"/>
        <w:jc w:val="both"/>
        <w:rPr>
          <w:rFonts w:ascii="Bierstadt" w:hAnsi="Bierstadt"/>
        </w:rPr>
      </w:pPr>
      <w:r w:rsidRPr="00A30C66">
        <w:rPr>
          <w:rFonts w:ascii="Bierstadt" w:hAnsi="Bierstadt"/>
        </w:rPr>
        <w:t xml:space="preserve">Uno de los problemas recurrentes es la creación de clases artificiales o ficticias para asegurar la aprobación de los </w:t>
      </w:r>
      <w:r w:rsidR="00C475CE">
        <w:rPr>
          <w:rFonts w:ascii="Bierstadt" w:hAnsi="Bierstadt"/>
        </w:rPr>
        <w:t>P</w:t>
      </w:r>
      <w:r w:rsidRPr="00A30C66">
        <w:rPr>
          <w:rFonts w:ascii="Bierstadt" w:hAnsi="Bierstadt"/>
        </w:rPr>
        <w:t>lanes</w:t>
      </w:r>
      <w:r>
        <w:rPr>
          <w:rFonts w:ascii="Bierstadt" w:hAnsi="Bierstadt"/>
        </w:rPr>
        <w:t xml:space="preserve">, permitiendo incluso la exclusión de determinados acreedores sin que </w:t>
      </w:r>
      <w:r w:rsidRPr="00C578EE">
        <w:rPr>
          <w:rFonts w:ascii="Bierstadt" w:hAnsi="Bierstadt"/>
        </w:rPr>
        <w:t>sea necesario entablar comunicación previa con ellos.</w:t>
      </w:r>
      <w:r>
        <w:rPr>
          <w:rFonts w:ascii="Bierstadt" w:hAnsi="Bierstadt"/>
        </w:rPr>
        <w:t xml:space="preserve"> </w:t>
      </w:r>
      <w:r w:rsidRPr="00A30C66">
        <w:rPr>
          <w:rFonts w:ascii="Bierstadt" w:hAnsi="Bierstadt"/>
        </w:rPr>
        <w:t>Esta práctica, aunque legítima en apariencia, puede generar desconfianza entre los acreedores y conducir a impugnaciones judiciales. En este contexto, se destacó la importancia de aplicar correctamente las reglas de equidad, como la prioridad absoluta, para evitar desigualdades en la distribución de los sacrificios.</w:t>
      </w:r>
    </w:p>
    <w:p w14:paraId="668902C5" w14:textId="77777777" w:rsidR="00D11795" w:rsidRDefault="00D11795" w:rsidP="00D11795">
      <w:pPr>
        <w:spacing w:after="0" w:line="312" w:lineRule="auto"/>
        <w:jc w:val="both"/>
        <w:rPr>
          <w:rFonts w:ascii="Bierstadt" w:hAnsi="Bierstadt"/>
        </w:rPr>
      </w:pPr>
    </w:p>
    <w:p w14:paraId="313C1A3B" w14:textId="17A1176B" w:rsidR="00D11795" w:rsidRDefault="00D11795" w:rsidP="00D11795">
      <w:pPr>
        <w:spacing w:after="0" w:line="312" w:lineRule="auto"/>
        <w:jc w:val="both"/>
        <w:rPr>
          <w:rFonts w:ascii="Bierstadt" w:hAnsi="Bierstadt"/>
        </w:rPr>
      </w:pPr>
      <w:r>
        <w:rPr>
          <w:rFonts w:ascii="Bierstadt" w:hAnsi="Bierstadt"/>
        </w:rPr>
        <w:t>Se incidió en que l</w:t>
      </w:r>
      <w:r w:rsidRPr="002A56B7">
        <w:rPr>
          <w:rFonts w:ascii="Bierstadt" w:hAnsi="Bierstadt"/>
        </w:rPr>
        <w:t xml:space="preserve">a formación de clases en los </w:t>
      </w:r>
      <w:r w:rsidR="00C475CE">
        <w:rPr>
          <w:rFonts w:ascii="Bierstadt" w:hAnsi="Bierstadt"/>
        </w:rPr>
        <w:t>P</w:t>
      </w:r>
      <w:r w:rsidRPr="002A56B7">
        <w:rPr>
          <w:rFonts w:ascii="Bierstadt" w:hAnsi="Bierstadt"/>
        </w:rPr>
        <w:t xml:space="preserve">lanes de </w:t>
      </w:r>
      <w:r w:rsidR="00C475CE">
        <w:rPr>
          <w:rFonts w:ascii="Bierstadt" w:hAnsi="Bierstadt"/>
        </w:rPr>
        <w:t>R</w:t>
      </w:r>
      <w:r w:rsidRPr="002A56B7">
        <w:rPr>
          <w:rFonts w:ascii="Bierstadt" w:hAnsi="Bierstadt"/>
        </w:rPr>
        <w:t xml:space="preserve">eestructuración puede compararse con un indicador de alerta temprana, como el proverbial </w:t>
      </w:r>
      <w:r>
        <w:rPr>
          <w:rFonts w:ascii="Bierstadt" w:hAnsi="Bierstadt"/>
        </w:rPr>
        <w:t>“</w:t>
      </w:r>
      <w:r w:rsidRPr="002A56B7">
        <w:rPr>
          <w:rFonts w:ascii="Bierstadt" w:hAnsi="Bierstadt"/>
        </w:rPr>
        <w:t>canario en la mina</w:t>
      </w:r>
      <w:r>
        <w:rPr>
          <w:rFonts w:ascii="Bierstadt" w:hAnsi="Bierstadt"/>
        </w:rPr>
        <w:t>”</w:t>
      </w:r>
      <w:r w:rsidRPr="002A56B7">
        <w:rPr>
          <w:rFonts w:ascii="Bierstadt" w:hAnsi="Bierstadt"/>
        </w:rPr>
        <w:t xml:space="preserve">. Si un </w:t>
      </w:r>
      <w:r>
        <w:rPr>
          <w:rFonts w:ascii="Bierstadt" w:hAnsi="Bierstadt"/>
        </w:rPr>
        <w:t>Plan</w:t>
      </w:r>
      <w:r w:rsidRPr="002A56B7">
        <w:rPr>
          <w:rFonts w:ascii="Bierstadt" w:hAnsi="Bierstadt"/>
        </w:rPr>
        <w:t xml:space="preserve"> incluye, por ejemplo, </w:t>
      </w:r>
      <w:r>
        <w:rPr>
          <w:rFonts w:ascii="Bierstadt" w:hAnsi="Bierstadt"/>
        </w:rPr>
        <w:t>doce</w:t>
      </w:r>
      <w:r w:rsidRPr="002A56B7">
        <w:rPr>
          <w:rFonts w:ascii="Bierstadt" w:hAnsi="Bierstadt"/>
        </w:rPr>
        <w:t xml:space="preserve"> clases y solo tres de ellas corresponden a proveedores, podría ser señal de una estructuración inadecuada. El artículo 639.1 TRLC presenta el riesgo de convertirse en un mecanismo demasiado permisivo, lo que podría derivar en una proliferación de </w:t>
      </w:r>
      <w:r w:rsidR="00C475CE">
        <w:rPr>
          <w:rFonts w:ascii="Bierstadt" w:hAnsi="Bierstadt"/>
        </w:rPr>
        <w:t>P</w:t>
      </w:r>
      <w:r w:rsidRPr="002A56B7">
        <w:rPr>
          <w:rFonts w:ascii="Bierstadt" w:hAnsi="Bierstadt"/>
        </w:rPr>
        <w:t>lanes mal diseñados.</w:t>
      </w:r>
    </w:p>
    <w:p w14:paraId="69C71B07" w14:textId="77777777" w:rsidR="00D11795" w:rsidRPr="002A56B7" w:rsidRDefault="00D11795" w:rsidP="00D11795">
      <w:pPr>
        <w:spacing w:after="0" w:line="312" w:lineRule="auto"/>
        <w:jc w:val="both"/>
        <w:rPr>
          <w:rFonts w:ascii="Bierstadt" w:hAnsi="Bierstadt"/>
        </w:rPr>
      </w:pPr>
    </w:p>
    <w:p w14:paraId="1664D455" w14:textId="54FC2307" w:rsidR="00D11795" w:rsidRDefault="00D11795" w:rsidP="00D11795">
      <w:pPr>
        <w:spacing w:after="0" w:line="312" w:lineRule="auto"/>
        <w:jc w:val="both"/>
        <w:rPr>
          <w:rFonts w:ascii="Bierstadt" w:hAnsi="Bierstadt"/>
        </w:rPr>
      </w:pPr>
      <w:r w:rsidRPr="002A56B7">
        <w:rPr>
          <w:rFonts w:ascii="Bierstadt" w:hAnsi="Bierstadt"/>
        </w:rPr>
        <w:t xml:space="preserve">El artículo 623 TRLC establece que la formación de clases debe basarse en el interés común de los acreedores, respetando </w:t>
      </w:r>
      <w:r w:rsidR="00C475CE">
        <w:rPr>
          <w:rFonts w:ascii="Bierstadt" w:hAnsi="Bierstadt"/>
        </w:rPr>
        <w:t>el rango</w:t>
      </w:r>
      <w:r w:rsidRPr="002A56B7">
        <w:rPr>
          <w:rFonts w:ascii="Bierstadt" w:hAnsi="Bierstadt"/>
        </w:rPr>
        <w:t xml:space="preserve"> concursal. Si este criterio se aplica correctamente, se garantiza que el principio de la mayoría se refleje de manera justa, permitiendo que el </w:t>
      </w:r>
      <w:r>
        <w:rPr>
          <w:rFonts w:ascii="Bierstadt" w:hAnsi="Bierstadt"/>
        </w:rPr>
        <w:t>P</w:t>
      </w:r>
      <w:r w:rsidRPr="002A56B7">
        <w:rPr>
          <w:rFonts w:ascii="Bierstadt" w:hAnsi="Bierstadt"/>
        </w:rPr>
        <w:t>lan sea respaldado por tres o cuatro clases representativas. Esto logra un equilibrio adecuado entre las medidas necesarias para la viabilidad del deudor y los sacrificios razonables para los acreedores afectados.</w:t>
      </w:r>
    </w:p>
    <w:p w14:paraId="35326CDD" w14:textId="77777777" w:rsidR="00D11795" w:rsidRPr="002A56B7" w:rsidRDefault="00D11795" w:rsidP="00D11795">
      <w:pPr>
        <w:spacing w:after="0" w:line="312" w:lineRule="auto"/>
        <w:jc w:val="both"/>
        <w:rPr>
          <w:rFonts w:ascii="Bierstadt" w:hAnsi="Bierstadt"/>
        </w:rPr>
      </w:pPr>
    </w:p>
    <w:p w14:paraId="6A8725A9" w14:textId="77777777" w:rsidR="00D11795" w:rsidRDefault="00D11795" w:rsidP="00D11795">
      <w:pPr>
        <w:spacing w:after="0" w:line="312" w:lineRule="auto"/>
        <w:jc w:val="both"/>
        <w:rPr>
          <w:rFonts w:ascii="Bierstadt" w:hAnsi="Bierstadt"/>
        </w:rPr>
      </w:pPr>
      <w:r w:rsidRPr="002A56B7">
        <w:rPr>
          <w:rFonts w:ascii="Bierstadt" w:hAnsi="Bierstadt"/>
        </w:rPr>
        <w:t xml:space="preserve">Un </w:t>
      </w:r>
      <w:r>
        <w:rPr>
          <w:rFonts w:ascii="Bierstadt" w:hAnsi="Bierstadt"/>
        </w:rPr>
        <w:t>Plan</w:t>
      </w:r>
      <w:r w:rsidRPr="002A56B7">
        <w:rPr>
          <w:rFonts w:ascii="Bierstadt" w:hAnsi="Bierstadt"/>
        </w:rPr>
        <w:t xml:space="preserve"> bien estructurado debería permitir la resolución de la crisis de forma efectiva. Para ello, es fundamental que la formación de clases sea dinámica, así como la posibilidad de su contradicción y confirmación. Sería altamente beneficioso que los acreedores pudieran intervenir en una etapa previa del proceso, deteniendo o abriendo un periodo de discusión antes de la presentación definitiva del </w:t>
      </w:r>
      <w:r>
        <w:rPr>
          <w:rFonts w:ascii="Bierstadt" w:hAnsi="Bierstadt"/>
        </w:rPr>
        <w:t>P</w:t>
      </w:r>
      <w:r w:rsidRPr="002A56B7">
        <w:rPr>
          <w:rFonts w:ascii="Bierstadt" w:hAnsi="Bierstadt"/>
        </w:rPr>
        <w:t>lan. Esto garantizaría un sistema más transparente y eficiente. Por ello, es recomendable apostar por una contradicción previa como medida preceptiva.</w:t>
      </w:r>
    </w:p>
    <w:p w14:paraId="5DBCBA41" w14:textId="77777777" w:rsidR="00D11795" w:rsidRPr="002A56B7" w:rsidRDefault="00D11795" w:rsidP="00D11795">
      <w:pPr>
        <w:spacing w:after="0" w:line="312" w:lineRule="auto"/>
        <w:jc w:val="both"/>
        <w:rPr>
          <w:rFonts w:ascii="Bierstadt" w:hAnsi="Bierstadt"/>
        </w:rPr>
      </w:pPr>
    </w:p>
    <w:p w14:paraId="2C42451A" w14:textId="77777777" w:rsidR="00D11795" w:rsidRPr="002A56B7" w:rsidRDefault="00D11795" w:rsidP="00D11795">
      <w:pPr>
        <w:spacing w:after="0" w:line="312" w:lineRule="auto"/>
        <w:jc w:val="both"/>
        <w:rPr>
          <w:rFonts w:ascii="Bierstadt" w:hAnsi="Bierstadt"/>
        </w:rPr>
      </w:pPr>
      <w:r>
        <w:rPr>
          <w:rFonts w:ascii="Bierstadt" w:hAnsi="Bierstadt"/>
        </w:rPr>
        <w:t xml:space="preserve">Uno de los puntos de consenso fue que los Planes </w:t>
      </w:r>
      <w:r w:rsidRPr="002A56B7">
        <w:rPr>
          <w:rFonts w:ascii="Bierstadt" w:hAnsi="Bierstadt"/>
        </w:rPr>
        <w:t>consensua</w:t>
      </w:r>
      <w:r>
        <w:rPr>
          <w:rFonts w:ascii="Bierstadt" w:hAnsi="Bierstadt"/>
        </w:rPr>
        <w:t>les</w:t>
      </w:r>
      <w:r w:rsidRPr="002A56B7">
        <w:rPr>
          <w:rFonts w:ascii="Bierstadt" w:hAnsi="Bierstadt"/>
        </w:rPr>
        <w:t xml:space="preserve"> son indiscutiblemente preferibles. Sin embargo, la práctica demuestra que los </w:t>
      </w:r>
      <w:r>
        <w:rPr>
          <w:rFonts w:ascii="Bierstadt" w:hAnsi="Bierstadt"/>
        </w:rPr>
        <w:t>T</w:t>
      </w:r>
      <w:r w:rsidRPr="002A56B7">
        <w:rPr>
          <w:rFonts w:ascii="Bierstadt" w:hAnsi="Bierstadt"/>
        </w:rPr>
        <w:t xml:space="preserve">ribunales están comenzando a ser más rigurosos con la correcta formación de clases, como se refleja en casos como </w:t>
      </w:r>
      <w:proofErr w:type="spellStart"/>
      <w:r w:rsidRPr="002A56B7">
        <w:rPr>
          <w:rFonts w:ascii="Bierstadt" w:hAnsi="Bierstadt"/>
          <w:i/>
          <w:iCs/>
        </w:rPr>
        <w:t>Ecolumber</w:t>
      </w:r>
      <w:proofErr w:type="spellEnd"/>
      <w:r w:rsidRPr="002A56B7">
        <w:rPr>
          <w:rFonts w:ascii="Bierstadt" w:hAnsi="Bierstadt"/>
        </w:rPr>
        <w:t xml:space="preserve">, donde se </w:t>
      </w:r>
      <w:r>
        <w:rPr>
          <w:rFonts w:ascii="Bierstadt" w:hAnsi="Bierstadt"/>
        </w:rPr>
        <w:t>reconoce</w:t>
      </w:r>
      <w:r w:rsidRPr="002A56B7">
        <w:rPr>
          <w:rFonts w:ascii="Bierstadt" w:hAnsi="Bierstadt"/>
        </w:rPr>
        <w:t xml:space="preserve"> la necesidad de </w:t>
      </w:r>
      <w:r>
        <w:rPr>
          <w:rFonts w:ascii="Bierstadt" w:hAnsi="Bierstadt"/>
        </w:rPr>
        <w:t xml:space="preserve">utilizar </w:t>
      </w:r>
      <w:r w:rsidRPr="002A56B7">
        <w:rPr>
          <w:rFonts w:ascii="Bierstadt" w:hAnsi="Bierstadt"/>
        </w:rPr>
        <w:t xml:space="preserve">criterios objetivos basados en el rango concursal. </w:t>
      </w:r>
      <w:r>
        <w:rPr>
          <w:rFonts w:ascii="Bierstadt" w:hAnsi="Bierstadt"/>
        </w:rPr>
        <w:t>El trámite de</w:t>
      </w:r>
      <w:r w:rsidRPr="002A56B7">
        <w:rPr>
          <w:rFonts w:ascii="Bierstadt" w:hAnsi="Bierstadt"/>
        </w:rPr>
        <w:t xml:space="preserve"> </w:t>
      </w:r>
      <w:r>
        <w:rPr>
          <w:rFonts w:ascii="Bierstadt" w:hAnsi="Bierstadt"/>
        </w:rPr>
        <w:t xml:space="preserve">contradicción previa es </w:t>
      </w:r>
      <w:r w:rsidRPr="002A56B7">
        <w:rPr>
          <w:rFonts w:ascii="Bierstadt" w:hAnsi="Bierstadt"/>
        </w:rPr>
        <w:t xml:space="preserve">relevante </w:t>
      </w:r>
      <w:r>
        <w:rPr>
          <w:rFonts w:ascii="Bierstadt" w:hAnsi="Bierstadt"/>
        </w:rPr>
        <w:t xml:space="preserve">dado que permite resolver </w:t>
      </w:r>
      <w:r w:rsidRPr="002A56B7">
        <w:rPr>
          <w:rFonts w:ascii="Bierstadt" w:hAnsi="Bierstadt"/>
        </w:rPr>
        <w:t>litigiosidad excesiva</w:t>
      </w:r>
      <w:r>
        <w:rPr>
          <w:rFonts w:ascii="Bierstadt" w:hAnsi="Bierstadt"/>
        </w:rPr>
        <w:t xml:space="preserve">; una medida que </w:t>
      </w:r>
      <w:r w:rsidRPr="002A56B7">
        <w:rPr>
          <w:rFonts w:ascii="Bierstadt" w:hAnsi="Bierstadt"/>
        </w:rPr>
        <w:t xml:space="preserve">orienta a agilizar el sistema y no limitarse a resoluciones tardías y poco satisfactorias. En este sentido, </w:t>
      </w:r>
      <w:r>
        <w:rPr>
          <w:rFonts w:ascii="Bierstadt" w:hAnsi="Bierstadt"/>
        </w:rPr>
        <w:t xml:space="preserve">apostar por </w:t>
      </w:r>
      <w:r w:rsidRPr="002A56B7">
        <w:rPr>
          <w:rFonts w:ascii="Bierstadt" w:hAnsi="Bierstadt"/>
        </w:rPr>
        <w:t xml:space="preserve">la </w:t>
      </w:r>
      <w:r>
        <w:rPr>
          <w:rFonts w:ascii="Bierstadt" w:hAnsi="Bierstadt"/>
        </w:rPr>
        <w:t>contradicción</w:t>
      </w:r>
      <w:r w:rsidRPr="002A56B7">
        <w:rPr>
          <w:rFonts w:ascii="Bierstadt" w:hAnsi="Bierstadt"/>
        </w:rPr>
        <w:t xml:space="preserve"> previa podría mejorar significativamente la eficiencia del proceso.</w:t>
      </w:r>
    </w:p>
    <w:p w14:paraId="0561C918" w14:textId="77777777" w:rsidR="00D11795" w:rsidRPr="00A30C66" w:rsidRDefault="00D11795" w:rsidP="00D11795">
      <w:pPr>
        <w:spacing w:after="0" w:line="312" w:lineRule="auto"/>
        <w:jc w:val="both"/>
        <w:rPr>
          <w:rFonts w:ascii="Bierstadt" w:hAnsi="Bierstadt"/>
        </w:rPr>
      </w:pPr>
    </w:p>
    <w:p w14:paraId="136C5E9C" w14:textId="180FE212" w:rsidR="00D11795" w:rsidRPr="00A30C66" w:rsidRDefault="00D11795" w:rsidP="00D11795">
      <w:pPr>
        <w:spacing w:after="0" w:line="312" w:lineRule="auto"/>
        <w:jc w:val="both"/>
        <w:rPr>
          <w:rFonts w:ascii="Bierstadt" w:hAnsi="Bierstadt"/>
        </w:rPr>
      </w:pPr>
      <w:r>
        <w:rPr>
          <w:rFonts w:ascii="Bierstadt" w:hAnsi="Bierstadt"/>
        </w:rPr>
        <w:t>En definitiva, l</w:t>
      </w:r>
      <w:r w:rsidRPr="00A30C66">
        <w:rPr>
          <w:rFonts w:ascii="Bierstadt" w:hAnsi="Bierstadt"/>
        </w:rPr>
        <w:t xml:space="preserve">a jurisprudencia reciente ha adoptado enfoques divergentes sobre este tema, validando en algunos casos la formación de clases cuestionables siempre que no comprometan la viabilidad global del </w:t>
      </w:r>
      <w:r w:rsidR="00C475CE">
        <w:rPr>
          <w:rFonts w:ascii="Bierstadt" w:hAnsi="Bierstadt"/>
        </w:rPr>
        <w:t>P</w:t>
      </w:r>
      <w:r w:rsidRPr="00A30C66">
        <w:rPr>
          <w:rFonts w:ascii="Bierstadt" w:hAnsi="Bierstadt"/>
        </w:rPr>
        <w:t>lan. Sin embargo, se advirtió que este enfoque debe manejarse con cautela para evitar la erosión de los principios básicos del derecho concursal.</w:t>
      </w:r>
    </w:p>
    <w:p w14:paraId="3F7645B0" w14:textId="77777777" w:rsidR="00D11795" w:rsidRPr="00A30C66" w:rsidRDefault="00D11795" w:rsidP="00D11795">
      <w:pPr>
        <w:spacing w:after="0" w:line="312" w:lineRule="auto"/>
        <w:jc w:val="both"/>
        <w:rPr>
          <w:rFonts w:ascii="Bierstadt" w:hAnsi="Bierstadt"/>
        </w:rPr>
      </w:pPr>
    </w:p>
    <w:p w14:paraId="375C4190" w14:textId="77777777" w:rsidR="00D11795" w:rsidRDefault="00D11795" w:rsidP="00D11795">
      <w:pPr>
        <w:spacing w:after="0" w:line="312" w:lineRule="auto"/>
        <w:jc w:val="both"/>
        <w:rPr>
          <w:rFonts w:ascii="Bierstadt" w:hAnsi="Bierstadt"/>
          <w:b/>
          <w:bCs/>
        </w:rPr>
      </w:pPr>
      <w:r w:rsidRPr="00A30C66">
        <w:rPr>
          <w:rFonts w:ascii="Bierstadt" w:hAnsi="Bierstadt"/>
          <w:b/>
          <w:bCs/>
        </w:rPr>
        <w:t xml:space="preserve">(iii) </w:t>
      </w:r>
      <w:r>
        <w:rPr>
          <w:rFonts w:ascii="Bierstadt" w:hAnsi="Bierstadt"/>
          <w:b/>
          <w:bCs/>
        </w:rPr>
        <w:t>La h</w:t>
      </w:r>
      <w:r w:rsidRPr="00A30C66">
        <w:rPr>
          <w:rFonts w:ascii="Bierstadt" w:hAnsi="Bierstadt"/>
          <w:b/>
          <w:bCs/>
        </w:rPr>
        <w:t>omologación y arrastr</w:t>
      </w:r>
      <w:r>
        <w:rPr>
          <w:rFonts w:ascii="Bierstadt" w:hAnsi="Bierstadt"/>
          <w:b/>
          <w:bCs/>
        </w:rPr>
        <w:t>e</w:t>
      </w:r>
    </w:p>
    <w:p w14:paraId="694BF5DF" w14:textId="77777777" w:rsidR="00D11795" w:rsidRPr="00A30C66" w:rsidRDefault="00D11795" w:rsidP="00D11795">
      <w:pPr>
        <w:spacing w:after="0" w:line="312" w:lineRule="auto"/>
        <w:jc w:val="both"/>
        <w:rPr>
          <w:rFonts w:ascii="Bierstadt" w:hAnsi="Bierstadt"/>
          <w:b/>
          <w:bCs/>
        </w:rPr>
      </w:pPr>
    </w:p>
    <w:p w14:paraId="22244D92" w14:textId="7E98AD8F" w:rsidR="00D11795" w:rsidRPr="00A30C66" w:rsidRDefault="00D11795" w:rsidP="00D11795">
      <w:pPr>
        <w:spacing w:after="0" w:line="312" w:lineRule="auto"/>
        <w:jc w:val="both"/>
        <w:rPr>
          <w:rFonts w:ascii="Bierstadt" w:hAnsi="Bierstadt"/>
        </w:rPr>
      </w:pPr>
      <w:r w:rsidRPr="00A30C66">
        <w:rPr>
          <w:rFonts w:ascii="Bierstadt" w:hAnsi="Bierstadt"/>
        </w:rPr>
        <w:t xml:space="preserve">El proceso de homologación y los efectos de arrastre sobre acreedores disidentes también generaron un intenso debate. Los ponentes coincidieron en que la homologación es esencial para conferir seguridad jurídica a los </w:t>
      </w:r>
      <w:r w:rsidR="00C475CE">
        <w:rPr>
          <w:rFonts w:ascii="Bierstadt" w:hAnsi="Bierstadt"/>
        </w:rPr>
        <w:t>P</w:t>
      </w:r>
      <w:r w:rsidRPr="00A30C66">
        <w:rPr>
          <w:rFonts w:ascii="Bierstadt" w:hAnsi="Bierstadt"/>
        </w:rPr>
        <w:t xml:space="preserve">lanes de </w:t>
      </w:r>
      <w:r w:rsidR="00C475CE">
        <w:rPr>
          <w:rFonts w:ascii="Bierstadt" w:hAnsi="Bierstadt"/>
        </w:rPr>
        <w:t>R</w:t>
      </w:r>
      <w:r w:rsidRPr="00A30C66">
        <w:rPr>
          <w:rFonts w:ascii="Bierstadt" w:hAnsi="Bierstadt"/>
        </w:rPr>
        <w:t>eestructuración, pero señalaron que su implementación plantea desafíos significativos.</w:t>
      </w:r>
    </w:p>
    <w:p w14:paraId="65C0A08B" w14:textId="77777777" w:rsidR="00D11795" w:rsidRPr="00A30C66" w:rsidRDefault="00D11795" w:rsidP="00D11795">
      <w:pPr>
        <w:spacing w:after="0" w:line="312" w:lineRule="auto"/>
        <w:jc w:val="both"/>
        <w:rPr>
          <w:rFonts w:ascii="Bierstadt" w:hAnsi="Bierstadt"/>
        </w:rPr>
      </w:pPr>
    </w:p>
    <w:p w14:paraId="29DBF1C7" w14:textId="62B61226" w:rsidR="00D11795" w:rsidRDefault="00D11795" w:rsidP="00D11795">
      <w:pPr>
        <w:spacing w:after="0" w:line="312" w:lineRule="auto"/>
        <w:jc w:val="both"/>
        <w:rPr>
          <w:rFonts w:ascii="Bierstadt" w:hAnsi="Bierstadt"/>
        </w:rPr>
      </w:pPr>
      <w:r w:rsidRPr="00A30C66">
        <w:rPr>
          <w:rFonts w:ascii="Bierstadt" w:hAnsi="Bierstadt"/>
        </w:rPr>
        <w:t xml:space="preserve">Uno de los puntos clave fue el alcance del control judicial durante la homologación. Mientras algunos </w:t>
      </w:r>
      <w:r>
        <w:rPr>
          <w:rFonts w:ascii="Bierstadt" w:hAnsi="Bierstadt"/>
        </w:rPr>
        <w:t>T</w:t>
      </w:r>
      <w:r w:rsidRPr="00A30C66">
        <w:rPr>
          <w:rFonts w:ascii="Bierstadt" w:hAnsi="Bierstadt"/>
        </w:rPr>
        <w:t xml:space="preserve">ribunales han optado por un control formal y limitado a cuestiones manifiestas, otros han adoptado un enfoque más sustantivo, evaluando aspectos como la viabilidad del </w:t>
      </w:r>
      <w:r w:rsidR="00C475CE">
        <w:rPr>
          <w:rFonts w:ascii="Bierstadt" w:hAnsi="Bierstadt"/>
        </w:rPr>
        <w:t>P</w:t>
      </w:r>
      <w:r w:rsidRPr="00A30C66">
        <w:rPr>
          <w:rFonts w:ascii="Bierstadt" w:hAnsi="Bierstadt"/>
        </w:rPr>
        <w:t>lan y la equidad en la distribución de sacrificios. Esta disparidad genera incertidumbre y puede prolongar los procesos.</w:t>
      </w:r>
    </w:p>
    <w:p w14:paraId="75D72DBD" w14:textId="77777777" w:rsidR="00D11795" w:rsidRDefault="00D11795" w:rsidP="00D11795">
      <w:pPr>
        <w:spacing w:after="0" w:line="312" w:lineRule="auto"/>
        <w:jc w:val="both"/>
        <w:rPr>
          <w:rFonts w:ascii="Bierstadt" w:hAnsi="Bierstadt"/>
        </w:rPr>
      </w:pPr>
    </w:p>
    <w:p w14:paraId="5B02B2AE" w14:textId="0F79A1CF" w:rsidR="00D11795" w:rsidRPr="00A30C66" w:rsidRDefault="00D11795" w:rsidP="00D11795">
      <w:pPr>
        <w:spacing w:after="0" w:line="312" w:lineRule="auto"/>
        <w:jc w:val="both"/>
        <w:rPr>
          <w:rFonts w:ascii="Bierstadt" w:hAnsi="Bierstadt"/>
        </w:rPr>
      </w:pPr>
      <w:r>
        <w:rPr>
          <w:rFonts w:ascii="Bierstadt" w:hAnsi="Bierstadt"/>
        </w:rPr>
        <w:t>Se llegó a discutir que c</w:t>
      </w:r>
      <w:r w:rsidRPr="0052318F">
        <w:rPr>
          <w:rFonts w:ascii="Bierstadt" w:hAnsi="Bierstadt"/>
        </w:rPr>
        <w:t xml:space="preserve">uando el Plan de Reestructuración es no consensual resulta esencial que los </w:t>
      </w:r>
      <w:r>
        <w:rPr>
          <w:rFonts w:ascii="Bierstadt" w:hAnsi="Bierstadt"/>
        </w:rPr>
        <w:t>J</w:t>
      </w:r>
      <w:r w:rsidRPr="0052318F">
        <w:rPr>
          <w:rFonts w:ascii="Bierstadt" w:hAnsi="Bierstadt"/>
        </w:rPr>
        <w:t xml:space="preserve">ueces asuman un papel más activo en su valoración. Si bien el sistema debe mantener cierta flexibilidad, es necesario establecer controles adecuados para evitar que los deudores formen clases artificialmente numerosas o logren la aprobación del </w:t>
      </w:r>
      <w:r w:rsidR="00C475CE">
        <w:rPr>
          <w:rFonts w:ascii="Bierstadt" w:hAnsi="Bierstadt"/>
        </w:rPr>
        <w:t>P</w:t>
      </w:r>
      <w:r w:rsidRPr="0052318F">
        <w:rPr>
          <w:rFonts w:ascii="Bierstadt" w:hAnsi="Bierstadt"/>
        </w:rPr>
        <w:t>lan con porcentajes mínimos de apoyo.</w:t>
      </w:r>
    </w:p>
    <w:p w14:paraId="118DA357" w14:textId="77777777" w:rsidR="00D11795" w:rsidRPr="00A30C66" w:rsidRDefault="00D11795" w:rsidP="00D11795">
      <w:pPr>
        <w:spacing w:after="0" w:line="312" w:lineRule="auto"/>
        <w:jc w:val="both"/>
        <w:rPr>
          <w:rFonts w:ascii="Bierstadt" w:hAnsi="Bierstadt"/>
        </w:rPr>
      </w:pPr>
    </w:p>
    <w:p w14:paraId="01C00A30" w14:textId="0B3322D0" w:rsidR="00D11795" w:rsidRDefault="00D11795" w:rsidP="00D11795">
      <w:pPr>
        <w:spacing w:after="0" w:line="312" w:lineRule="auto"/>
        <w:jc w:val="both"/>
        <w:rPr>
          <w:rFonts w:ascii="Bierstadt" w:hAnsi="Bierstadt"/>
        </w:rPr>
      </w:pPr>
      <w:r w:rsidRPr="00A30C66">
        <w:rPr>
          <w:rFonts w:ascii="Bierstadt" w:hAnsi="Bierstadt"/>
        </w:rPr>
        <w:t xml:space="preserve">En relación con el arrastre, se discutieron casos en los que la inclusión de acreedores disidentes en los </w:t>
      </w:r>
      <w:r w:rsidR="00C475CE">
        <w:rPr>
          <w:rFonts w:ascii="Bierstadt" w:hAnsi="Bierstadt"/>
        </w:rPr>
        <w:t>P</w:t>
      </w:r>
      <w:r w:rsidRPr="00A30C66">
        <w:rPr>
          <w:rFonts w:ascii="Bierstadt" w:hAnsi="Bierstadt"/>
        </w:rPr>
        <w:t>lanes homologados ha generado conflictos, especialmente cuando se percibe que los sacrificios no están equitativamente distribuidos. Se enfatizó la necesidad de una mayor claridad normativa y de criterios unificados para minimizar el riesgo de impugnaciones.</w:t>
      </w:r>
    </w:p>
    <w:p w14:paraId="3F539526" w14:textId="77777777" w:rsidR="00D11795" w:rsidRPr="00A30C66" w:rsidRDefault="00D11795" w:rsidP="00D11795">
      <w:pPr>
        <w:spacing w:after="0" w:line="312" w:lineRule="auto"/>
        <w:jc w:val="both"/>
        <w:rPr>
          <w:rFonts w:ascii="Bierstadt" w:hAnsi="Bierstadt"/>
        </w:rPr>
      </w:pPr>
    </w:p>
    <w:p w14:paraId="048DB81D" w14:textId="77777777" w:rsidR="00D11795" w:rsidRDefault="00D11795" w:rsidP="00D11795">
      <w:pPr>
        <w:spacing w:after="0" w:line="312" w:lineRule="auto"/>
        <w:jc w:val="both"/>
        <w:rPr>
          <w:rFonts w:ascii="Bierstadt" w:hAnsi="Bierstadt"/>
          <w:b/>
          <w:bCs/>
        </w:rPr>
      </w:pPr>
      <w:r w:rsidRPr="00A30C66">
        <w:rPr>
          <w:rFonts w:ascii="Bierstadt" w:hAnsi="Bierstadt"/>
          <w:b/>
          <w:bCs/>
        </w:rPr>
        <w:t xml:space="preserve">(iv) </w:t>
      </w:r>
      <w:r>
        <w:rPr>
          <w:rFonts w:ascii="Bierstadt" w:hAnsi="Bierstadt"/>
          <w:b/>
          <w:bCs/>
        </w:rPr>
        <w:t>El p</w:t>
      </w:r>
      <w:r w:rsidRPr="00A30C66">
        <w:rPr>
          <w:rFonts w:ascii="Bierstadt" w:hAnsi="Bierstadt"/>
          <w:b/>
          <w:bCs/>
        </w:rPr>
        <w:t>apel de los fondos de inversión</w:t>
      </w:r>
    </w:p>
    <w:p w14:paraId="4BDCEAD4" w14:textId="77777777" w:rsidR="00D11795" w:rsidRPr="00A30C66" w:rsidRDefault="00D11795" w:rsidP="00D11795">
      <w:pPr>
        <w:spacing w:after="0" w:line="312" w:lineRule="auto"/>
        <w:jc w:val="both"/>
        <w:rPr>
          <w:rFonts w:ascii="Bierstadt" w:hAnsi="Bierstadt"/>
          <w:b/>
          <w:bCs/>
        </w:rPr>
      </w:pPr>
    </w:p>
    <w:p w14:paraId="7529ACFD" w14:textId="09A76282" w:rsidR="00D11795" w:rsidRPr="00A30C66" w:rsidRDefault="00D11795" w:rsidP="00D11795">
      <w:pPr>
        <w:spacing w:after="0" w:line="312" w:lineRule="auto"/>
        <w:jc w:val="both"/>
        <w:rPr>
          <w:rFonts w:ascii="Bierstadt" w:hAnsi="Bierstadt"/>
        </w:rPr>
      </w:pPr>
      <w:r w:rsidRPr="00A30C66">
        <w:rPr>
          <w:rFonts w:ascii="Bierstadt" w:hAnsi="Bierstadt"/>
        </w:rPr>
        <w:t xml:space="preserve">El rol de los fondos de inversión en los procesos de reestructuración fue otro tema central de la </w:t>
      </w:r>
      <w:r w:rsidR="00C475CE">
        <w:rPr>
          <w:rFonts w:ascii="Bierstadt" w:hAnsi="Bierstadt"/>
        </w:rPr>
        <w:t>J</w:t>
      </w:r>
      <w:r w:rsidRPr="00A30C66">
        <w:rPr>
          <w:rFonts w:ascii="Bierstadt" w:hAnsi="Bierstadt"/>
        </w:rPr>
        <w:t>ornada. Estos actores, cada vez más influyentes en el ámbito empresarial, aportan capital y experiencia estratégica, pero también generan dinámicas complejas en las negociaciones.</w:t>
      </w:r>
    </w:p>
    <w:p w14:paraId="5ADE6E47" w14:textId="77777777" w:rsidR="00D11795" w:rsidRPr="00A30C66" w:rsidRDefault="00D11795" w:rsidP="00D11795">
      <w:pPr>
        <w:spacing w:after="0" w:line="312" w:lineRule="auto"/>
        <w:jc w:val="both"/>
        <w:rPr>
          <w:rFonts w:ascii="Bierstadt" w:hAnsi="Bierstadt"/>
        </w:rPr>
      </w:pPr>
    </w:p>
    <w:p w14:paraId="22398A1D" w14:textId="77777777" w:rsidR="00D11795" w:rsidRDefault="00D11795" w:rsidP="00D11795">
      <w:pPr>
        <w:spacing w:after="0" w:line="312" w:lineRule="auto"/>
        <w:jc w:val="both"/>
        <w:rPr>
          <w:rFonts w:ascii="Bierstadt" w:hAnsi="Bierstadt"/>
        </w:rPr>
      </w:pPr>
      <w:r w:rsidRPr="00A30C66">
        <w:rPr>
          <w:rFonts w:ascii="Bierstadt" w:hAnsi="Bierstadt"/>
        </w:rPr>
        <w:t>Se destacó que los fondos de inversión suelen adoptar una perspectiva pragmática, priorizando soluciones rápidas y efectivas que aseguren la continuidad de las empresas. Sin embargo, su participación también ha sido objeto de críticas, particularmente en casos donde se percibe un desequilibrio en la distribución de riesgos y beneficios entre acreedores.</w:t>
      </w:r>
    </w:p>
    <w:p w14:paraId="147438BB" w14:textId="77777777" w:rsidR="00D11795" w:rsidRDefault="00D11795" w:rsidP="00D11795">
      <w:pPr>
        <w:spacing w:after="0" w:line="312" w:lineRule="auto"/>
        <w:jc w:val="both"/>
        <w:rPr>
          <w:rFonts w:ascii="Bierstadt" w:hAnsi="Bierstadt"/>
        </w:rPr>
      </w:pPr>
    </w:p>
    <w:p w14:paraId="49B10845" w14:textId="5669B765" w:rsidR="00D11795" w:rsidRPr="00A01F7D" w:rsidRDefault="00D11795" w:rsidP="00D11795">
      <w:pPr>
        <w:spacing w:after="0" w:line="312" w:lineRule="auto"/>
        <w:jc w:val="both"/>
        <w:rPr>
          <w:rFonts w:ascii="Bierstadt" w:hAnsi="Bierstadt"/>
        </w:rPr>
      </w:pPr>
      <w:r w:rsidRPr="00A01F7D">
        <w:rPr>
          <w:rFonts w:ascii="Bierstadt" w:hAnsi="Bierstadt"/>
        </w:rPr>
        <w:t xml:space="preserve">Bajo la legislación anterior, las opciones del empresario eran limitadas: o no tomar medidas o recurrir directamente a la </w:t>
      </w:r>
      <w:r>
        <w:rPr>
          <w:rFonts w:ascii="Bierstadt" w:hAnsi="Bierstadt"/>
        </w:rPr>
        <w:t xml:space="preserve">venta de unidad productiva. </w:t>
      </w:r>
      <w:r w:rsidRPr="00A01F7D">
        <w:rPr>
          <w:rFonts w:ascii="Bierstadt" w:hAnsi="Bierstadt"/>
        </w:rPr>
        <w:t xml:space="preserve"> El caso </w:t>
      </w:r>
      <w:proofErr w:type="spellStart"/>
      <w:r w:rsidRPr="00A01F7D">
        <w:rPr>
          <w:rFonts w:ascii="Bierstadt" w:hAnsi="Bierstadt"/>
          <w:i/>
          <w:iCs/>
        </w:rPr>
        <w:t>Vilaseca</w:t>
      </w:r>
      <w:proofErr w:type="spellEnd"/>
      <w:r w:rsidRPr="00A01F7D">
        <w:rPr>
          <w:rFonts w:ascii="Bierstadt" w:hAnsi="Bierstadt"/>
        </w:rPr>
        <w:t xml:space="preserve"> ejemplifica los riesgos de penalizar el fracaso empresarial, reflejando una problemática cultural donde el empresario carece de incentivos para buscar soluciones tempranas. Esta falta de incentivos lleva a demorar la solicitud de ayuda, y con frecuencia, los </w:t>
      </w:r>
      <w:r w:rsidR="00C475CE">
        <w:rPr>
          <w:rFonts w:ascii="Bierstadt" w:hAnsi="Bierstadt"/>
        </w:rPr>
        <w:t>P</w:t>
      </w:r>
      <w:r w:rsidRPr="00A01F7D">
        <w:rPr>
          <w:rFonts w:ascii="Bierstadt" w:hAnsi="Bierstadt"/>
        </w:rPr>
        <w:t xml:space="preserve">lanes de </w:t>
      </w:r>
      <w:r w:rsidR="00C475CE">
        <w:rPr>
          <w:rFonts w:ascii="Bierstadt" w:hAnsi="Bierstadt"/>
        </w:rPr>
        <w:t>R</w:t>
      </w:r>
      <w:r w:rsidRPr="00A01F7D">
        <w:rPr>
          <w:rFonts w:ascii="Bierstadt" w:hAnsi="Bierstadt"/>
        </w:rPr>
        <w:t xml:space="preserve">eestructuración fallan por la tardanza o la creación de clases ficticias destinadas al fracaso. No obstante, la </w:t>
      </w:r>
      <w:r w:rsidR="00C475CE">
        <w:rPr>
          <w:rFonts w:ascii="Bierstadt" w:hAnsi="Bierstadt"/>
        </w:rPr>
        <w:t>L</w:t>
      </w:r>
      <w:r w:rsidRPr="00A01F7D">
        <w:rPr>
          <w:rFonts w:ascii="Bierstadt" w:hAnsi="Bierstadt"/>
        </w:rPr>
        <w:t>ey actual resulta positiva al permitir, incluso en situaciones tardías, preservar la empresa y su actividad.</w:t>
      </w:r>
    </w:p>
    <w:p w14:paraId="27970A99" w14:textId="77777777" w:rsidR="00D11795" w:rsidRDefault="00D11795" w:rsidP="00D11795">
      <w:pPr>
        <w:spacing w:after="0" w:line="312" w:lineRule="auto"/>
        <w:jc w:val="both"/>
        <w:rPr>
          <w:rFonts w:ascii="Bierstadt" w:hAnsi="Bierstadt"/>
        </w:rPr>
      </w:pPr>
    </w:p>
    <w:p w14:paraId="687E46A7" w14:textId="77777777" w:rsidR="00D11795" w:rsidRPr="00A01F7D" w:rsidRDefault="00D11795" w:rsidP="00D11795">
      <w:pPr>
        <w:spacing w:after="0" w:line="312" w:lineRule="auto"/>
        <w:jc w:val="both"/>
        <w:rPr>
          <w:rFonts w:ascii="Bierstadt" w:hAnsi="Bierstadt"/>
        </w:rPr>
      </w:pPr>
      <w:r w:rsidRPr="00A01F7D">
        <w:rPr>
          <w:rFonts w:ascii="Bierstadt" w:hAnsi="Bierstadt"/>
        </w:rPr>
        <w:t xml:space="preserve">Los </w:t>
      </w:r>
      <w:r>
        <w:rPr>
          <w:rFonts w:ascii="Bierstadt" w:hAnsi="Bierstadt"/>
        </w:rPr>
        <w:t>fondos</w:t>
      </w:r>
      <w:r w:rsidRPr="00A01F7D">
        <w:rPr>
          <w:rFonts w:ascii="Bierstadt" w:hAnsi="Bierstadt"/>
        </w:rPr>
        <w:t xml:space="preserve"> desempeñan un papel significativo al inyectar capital extranjero para restablecer el tejido productivo español. Si bien su objetivo principal es obtener un retorno de la inversión, su interés radica en identificar proyectos con futuro, aunque enfrentan numerosas dificultades para lograrlo.</w:t>
      </w:r>
    </w:p>
    <w:p w14:paraId="18DE2168" w14:textId="77777777" w:rsidR="00D11795" w:rsidRPr="00A30C66" w:rsidRDefault="00D11795" w:rsidP="00D11795">
      <w:pPr>
        <w:spacing w:after="0" w:line="312" w:lineRule="auto"/>
        <w:jc w:val="both"/>
        <w:rPr>
          <w:rFonts w:ascii="Bierstadt" w:hAnsi="Bierstadt"/>
        </w:rPr>
      </w:pPr>
    </w:p>
    <w:p w14:paraId="1CB44CA1" w14:textId="0391AC17" w:rsidR="00D11795" w:rsidRDefault="00D11795" w:rsidP="00D11795">
      <w:pPr>
        <w:spacing w:after="0" w:line="312" w:lineRule="auto"/>
        <w:jc w:val="both"/>
        <w:rPr>
          <w:rFonts w:ascii="Bierstadt" w:hAnsi="Bierstadt"/>
        </w:rPr>
      </w:pPr>
      <w:r>
        <w:rPr>
          <w:rFonts w:ascii="Bierstadt" w:hAnsi="Bierstadt"/>
        </w:rPr>
        <w:t>Se consideró que corresponde</w:t>
      </w:r>
      <w:r w:rsidRPr="00A01F7D">
        <w:rPr>
          <w:rFonts w:ascii="Bierstadt" w:hAnsi="Bierstadt"/>
        </w:rPr>
        <w:t xml:space="preserve"> a los acreedores promover soluciones basadas en el consenso y persuadir a los deudores para llegar a acuerdos que beneficien a todas las partes implicadas.</w:t>
      </w:r>
      <w:r>
        <w:rPr>
          <w:rFonts w:ascii="Bierstadt" w:hAnsi="Bierstadt"/>
        </w:rPr>
        <w:t xml:space="preserve"> Una propuesta que se puso sobre la mesa fue</w:t>
      </w:r>
      <w:r w:rsidRPr="00A01F7D">
        <w:rPr>
          <w:rFonts w:ascii="Bierstadt" w:hAnsi="Bierstadt"/>
        </w:rPr>
        <w:t xml:space="preserve"> el concepto de </w:t>
      </w:r>
      <w:r w:rsidR="00C475CE">
        <w:rPr>
          <w:rFonts w:ascii="Bierstadt" w:hAnsi="Bierstadt"/>
        </w:rPr>
        <w:t>P</w:t>
      </w:r>
      <w:r w:rsidRPr="00A01F7D">
        <w:rPr>
          <w:rFonts w:ascii="Bierstadt" w:hAnsi="Bierstadt"/>
        </w:rPr>
        <w:t xml:space="preserve">lanes de </w:t>
      </w:r>
      <w:r w:rsidR="00696CE6">
        <w:rPr>
          <w:rFonts w:ascii="Bierstadt" w:hAnsi="Bierstadt"/>
        </w:rPr>
        <w:t>R</w:t>
      </w:r>
      <w:r w:rsidRPr="00A01F7D">
        <w:rPr>
          <w:rFonts w:ascii="Bierstadt" w:hAnsi="Bierstadt"/>
        </w:rPr>
        <w:t>eestructuración competidores. Esta figura</w:t>
      </w:r>
      <w:r>
        <w:rPr>
          <w:rFonts w:ascii="Bierstadt" w:hAnsi="Bierstadt"/>
        </w:rPr>
        <w:t xml:space="preserve"> </w:t>
      </w:r>
      <w:r w:rsidRPr="00A01F7D">
        <w:rPr>
          <w:rFonts w:ascii="Bierstadt" w:hAnsi="Bierstadt"/>
        </w:rPr>
        <w:t xml:space="preserve">podría resultar clave para encontrar soluciones óptimas. Sin embargo, es fundamental que los </w:t>
      </w:r>
      <w:r w:rsidR="00696CE6">
        <w:rPr>
          <w:rFonts w:ascii="Bierstadt" w:hAnsi="Bierstadt"/>
        </w:rPr>
        <w:t>J</w:t>
      </w:r>
      <w:r w:rsidRPr="00A01F7D">
        <w:rPr>
          <w:rFonts w:ascii="Bierstadt" w:hAnsi="Bierstadt"/>
        </w:rPr>
        <w:t xml:space="preserve">ueces asuman un papel activo en la evaluación de estos </w:t>
      </w:r>
      <w:r w:rsidR="00C475CE">
        <w:rPr>
          <w:rFonts w:ascii="Bierstadt" w:hAnsi="Bierstadt"/>
        </w:rPr>
        <w:t>P</w:t>
      </w:r>
      <w:r w:rsidRPr="00A01F7D">
        <w:rPr>
          <w:rFonts w:ascii="Bierstadt" w:hAnsi="Bierstadt"/>
        </w:rPr>
        <w:t xml:space="preserve">lanes, evitando el llamado </w:t>
      </w:r>
      <w:r>
        <w:rPr>
          <w:rFonts w:ascii="Bierstadt" w:hAnsi="Bierstadt"/>
        </w:rPr>
        <w:t>“</w:t>
      </w:r>
      <w:r w:rsidRPr="00A01F7D">
        <w:rPr>
          <w:rFonts w:ascii="Bierstadt" w:hAnsi="Bierstadt"/>
        </w:rPr>
        <w:t>efecto de anclaje</w:t>
      </w:r>
      <w:r>
        <w:rPr>
          <w:rFonts w:ascii="Bierstadt" w:hAnsi="Bierstadt"/>
        </w:rPr>
        <w:t>”</w:t>
      </w:r>
      <w:r w:rsidRPr="00A01F7D">
        <w:rPr>
          <w:rFonts w:ascii="Bierstadt" w:hAnsi="Bierstadt"/>
        </w:rPr>
        <w:t xml:space="preserve"> que puede limitar la viabilidad de propuestas alternativas. Casos como </w:t>
      </w:r>
      <w:r w:rsidRPr="00A01F7D">
        <w:rPr>
          <w:rFonts w:ascii="Bierstadt" w:hAnsi="Bierstadt"/>
          <w:i/>
          <w:iCs/>
        </w:rPr>
        <w:t>Single Home</w:t>
      </w:r>
      <w:r w:rsidRPr="00A01F7D">
        <w:rPr>
          <w:rFonts w:ascii="Bierstadt" w:hAnsi="Bierstadt"/>
        </w:rPr>
        <w:t xml:space="preserve"> y </w:t>
      </w:r>
      <w:proofErr w:type="spellStart"/>
      <w:r w:rsidRPr="00A01F7D">
        <w:rPr>
          <w:rFonts w:ascii="Bierstadt" w:hAnsi="Bierstadt"/>
          <w:i/>
          <w:iCs/>
        </w:rPr>
        <w:t>Transbiaga</w:t>
      </w:r>
      <w:proofErr w:type="spellEnd"/>
      <w:r w:rsidRPr="00A01F7D">
        <w:rPr>
          <w:rFonts w:ascii="Bierstadt" w:hAnsi="Bierstadt"/>
        </w:rPr>
        <w:t xml:space="preserve"> han demostrado la necesidad de mayor claridad judicial. </w:t>
      </w:r>
    </w:p>
    <w:p w14:paraId="4BEC78A8" w14:textId="77777777" w:rsidR="00D11795" w:rsidRDefault="00D11795" w:rsidP="00D11795">
      <w:pPr>
        <w:spacing w:after="0" w:line="312" w:lineRule="auto"/>
        <w:jc w:val="both"/>
        <w:rPr>
          <w:rFonts w:ascii="Bierstadt" w:hAnsi="Bierstadt"/>
        </w:rPr>
      </w:pPr>
    </w:p>
    <w:p w14:paraId="49DD9966" w14:textId="2ADE006B" w:rsidR="00D11795" w:rsidRDefault="00D11795" w:rsidP="00D11795">
      <w:pPr>
        <w:spacing w:after="0" w:line="312" w:lineRule="auto"/>
        <w:jc w:val="both"/>
        <w:rPr>
          <w:rFonts w:ascii="Bierstadt" w:hAnsi="Bierstadt"/>
        </w:rPr>
      </w:pPr>
      <w:r w:rsidRPr="00A01F7D">
        <w:rPr>
          <w:rFonts w:ascii="Bierstadt" w:hAnsi="Bierstadt"/>
        </w:rPr>
        <w:t xml:space="preserve">Un avance deseable sería que los </w:t>
      </w:r>
      <w:r w:rsidR="00696CE6">
        <w:rPr>
          <w:rFonts w:ascii="Bierstadt" w:hAnsi="Bierstadt"/>
        </w:rPr>
        <w:t>J</w:t>
      </w:r>
      <w:r w:rsidRPr="00A01F7D">
        <w:rPr>
          <w:rFonts w:ascii="Bierstadt" w:hAnsi="Bierstadt"/>
        </w:rPr>
        <w:t xml:space="preserve">uzgados establezcan criterios claros y objetivos para evaluar y dar cabida a </w:t>
      </w:r>
      <w:r w:rsidR="00C475CE">
        <w:rPr>
          <w:rFonts w:ascii="Bierstadt" w:hAnsi="Bierstadt"/>
        </w:rPr>
        <w:t>P</w:t>
      </w:r>
      <w:r w:rsidRPr="00A01F7D">
        <w:rPr>
          <w:rFonts w:ascii="Bierstadt" w:hAnsi="Bierstadt"/>
        </w:rPr>
        <w:t xml:space="preserve">lanes competidores, </w:t>
      </w:r>
      <w:r>
        <w:rPr>
          <w:rFonts w:ascii="Bierstadt" w:hAnsi="Bierstadt"/>
        </w:rPr>
        <w:t xml:space="preserve">con </w:t>
      </w:r>
      <w:r w:rsidRPr="000722DD">
        <w:rPr>
          <w:rFonts w:ascii="Bierstadt" w:hAnsi="Bierstadt"/>
        </w:rPr>
        <w:t xml:space="preserve">límites claros sobre cuántos </w:t>
      </w:r>
      <w:r w:rsidR="00C475CE">
        <w:rPr>
          <w:rFonts w:ascii="Bierstadt" w:hAnsi="Bierstadt"/>
        </w:rPr>
        <w:t>P</w:t>
      </w:r>
      <w:r w:rsidRPr="000722DD">
        <w:rPr>
          <w:rFonts w:ascii="Bierstadt" w:hAnsi="Bierstadt"/>
        </w:rPr>
        <w:t>lanes pueden admitirse y en qué condiciones</w:t>
      </w:r>
      <w:r>
        <w:rPr>
          <w:rFonts w:ascii="Bierstadt" w:hAnsi="Bierstadt"/>
        </w:rPr>
        <w:t>,</w:t>
      </w:r>
      <w:r w:rsidRPr="00A01F7D">
        <w:rPr>
          <w:rFonts w:ascii="Bierstadt" w:hAnsi="Bierstadt"/>
        </w:rPr>
        <w:t xml:space="preserve"> facilitando una solución definitiva.</w:t>
      </w:r>
      <w:r>
        <w:rPr>
          <w:rFonts w:ascii="Bierstadt" w:hAnsi="Bierstadt"/>
        </w:rPr>
        <w:t xml:space="preserve"> </w:t>
      </w:r>
      <w:r w:rsidRPr="000722DD">
        <w:rPr>
          <w:rFonts w:ascii="Bierstadt" w:hAnsi="Bierstadt"/>
        </w:rPr>
        <w:t xml:space="preserve">Una posible solución sería suspender la tramitación del segundo </w:t>
      </w:r>
      <w:r w:rsidR="00C475CE">
        <w:rPr>
          <w:rFonts w:ascii="Bierstadt" w:hAnsi="Bierstadt"/>
        </w:rPr>
        <w:t>P</w:t>
      </w:r>
      <w:r w:rsidRPr="000722DD">
        <w:rPr>
          <w:rFonts w:ascii="Bierstadt" w:hAnsi="Bierstadt"/>
        </w:rPr>
        <w:t>lan hasta que se evalúe el primero, obligando a una contradicción previa en primera instancia. Esto garantizaría un proceso más ordenado y eficiente, optimizando los resultados para todas las partes implicadas.</w:t>
      </w:r>
    </w:p>
    <w:p w14:paraId="5552CC20" w14:textId="77777777" w:rsidR="00D11795" w:rsidRPr="000722DD" w:rsidRDefault="00D11795" w:rsidP="00D11795">
      <w:pPr>
        <w:spacing w:after="0" w:line="312" w:lineRule="auto"/>
        <w:jc w:val="both"/>
        <w:rPr>
          <w:rFonts w:ascii="Bierstadt" w:hAnsi="Bierstadt"/>
        </w:rPr>
      </w:pPr>
    </w:p>
    <w:p w14:paraId="646DBAF2" w14:textId="77777777" w:rsidR="00D11795" w:rsidRPr="00A30C66" w:rsidRDefault="00D11795" w:rsidP="00D11795">
      <w:pPr>
        <w:spacing w:after="0" w:line="312" w:lineRule="auto"/>
        <w:jc w:val="both"/>
        <w:rPr>
          <w:rFonts w:ascii="Bierstadt" w:hAnsi="Bierstadt"/>
        </w:rPr>
      </w:pPr>
      <w:r>
        <w:rPr>
          <w:rFonts w:ascii="Bierstadt" w:hAnsi="Bierstadt"/>
        </w:rPr>
        <w:t>En definitiva, los</w:t>
      </w:r>
      <w:r w:rsidRPr="00A30C66">
        <w:rPr>
          <w:rFonts w:ascii="Bierstadt" w:hAnsi="Bierstadt"/>
        </w:rPr>
        <w:t xml:space="preserve"> ponentes </w:t>
      </w:r>
      <w:r>
        <w:rPr>
          <w:rFonts w:ascii="Bierstadt" w:hAnsi="Bierstadt"/>
        </w:rPr>
        <w:t>terminaron analizando</w:t>
      </w:r>
      <w:r w:rsidRPr="00A30C66">
        <w:rPr>
          <w:rFonts w:ascii="Bierstadt" w:hAnsi="Bierstadt"/>
        </w:rPr>
        <w:t xml:space="preserve"> cómo los fondos de inversión han desempeñado un papel clave en la financiación de empresas en crisis, pero también señalaron la necesidad de establecer salvaguardias para evitar abusos. En este sentido, se subrayó la importancia de un marco normativo claro y equitativo que fomente la colaboración entre fondos, empresas y otros acreedores.</w:t>
      </w:r>
    </w:p>
    <w:p w14:paraId="60A9AF27" w14:textId="77777777" w:rsidR="00D11795" w:rsidRPr="00A30C66" w:rsidRDefault="00D11795" w:rsidP="00D11795">
      <w:pPr>
        <w:spacing w:after="0" w:line="312" w:lineRule="auto"/>
        <w:jc w:val="both"/>
        <w:rPr>
          <w:rFonts w:ascii="Bierstadt" w:hAnsi="Bierstadt"/>
        </w:rPr>
      </w:pPr>
    </w:p>
    <w:p w14:paraId="187CF0C0" w14:textId="0670B4C6" w:rsidR="00D11795" w:rsidRPr="00D11795" w:rsidRDefault="00D11795" w:rsidP="00D11795">
      <w:pPr>
        <w:spacing w:after="0" w:line="312" w:lineRule="auto"/>
        <w:jc w:val="both"/>
        <w:rPr>
          <w:rFonts w:ascii="Bierstadt" w:hAnsi="Bierstadt"/>
        </w:rPr>
      </w:pPr>
      <w:r>
        <w:rPr>
          <w:noProof/>
          <w:lang w:eastAsia="es-ES"/>
        </w:rPr>
        <w:drawing>
          <wp:anchor distT="0" distB="0" distL="114300" distR="114300" simplePos="0" relativeHeight="251659264" behindDoc="0" locked="0" layoutInCell="1" allowOverlap="1" wp14:anchorId="161ABFDB" wp14:editId="7BAEEC47">
            <wp:simplePos x="0" y="0"/>
            <wp:positionH relativeFrom="column">
              <wp:posOffset>-3810</wp:posOffset>
            </wp:positionH>
            <wp:positionV relativeFrom="paragraph">
              <wp:posOffset>635</wp:posOffset>
            </wp:positionV>
            <wp:extent cx="5400040" cy="3037840"/>
            <wp:effectExtent l="19050" t="19050" r="10160" b="10160"/>
            <wp:wrapTopAndBottom/>
            <wp:docPr id="63250974" name="Imagen 2" descr="No hay texto alternativo para est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texto alternativo para esta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3FCA14" w14:textId="26F2EAFC" w:rsidR="00D83670" w:rsidRDefault="00D83670" w:rsidP="00D83670">
      <w:pPr>
        <w:pBdr>
          <w:bottom w:val="single" w:sz="12" w:space="4" w:color="auto"/>
        </w:pBdr>
        <w:spacing w:after="0" w:line="312" w:lineRule="auto"/>
        <w:jc w:val="both"/>
        <w:rPr>
          <w:rFonts w:ascii="Bierstadt" w:hAnsi="Bierstadt"/>
          <w:b/>
          <w:bCs/>
        </w:rPr>
      </w:pPr>
      <w:r>
        <w:rPr>
          <w:rFonts w:ascii="Bierstadt" w:hAnsi="Bierstadt"/>
          <w:b/>
          <w:bCs/>
        </w:rPr>
        <w:t xml:space="preserve">Conclusiones finales y propuestas de futuro </w:t>
      </w:r>
    </w:p>
    <w:p w14:paraId="4CCB1A26" w14:textId="77777777" w:rsidR="00765CB0" w:rsidRPr="00D11795" w:rsidRDefault="00765CB0" w:rsidP="00D11795">
      <w:pPr>
        <w:spacing w:after="0" w:line="312" w:lineRule="auto"/>
        <w:jc w:val="both"/>
        <w:rPr>
          <w:rFonts w:ascii="Bierstadt" w:hAnsi="Bierstadt"/>
        </w:rPr>
      </w:pPr>
    </w:p>
    <w:p w14:paraId="50F6FDAC" w14:textId="72450D72" w:rsidR="00D11795" w:rsidRDefault="00D11795" w:rsidP="00D11795">
      <w:pPr>
        <w:spacing w:after="0" w:line="312" w:lineRule="auto"/>
        <w:jc w:val="both"/>
        <w:rPr>
          <w:rFonts w:ascii="Bierstadt" w:hAnsi="Bierstadt"/>
        </w:rPr>
      </w:pPr>
      <w:r w:rsidRPr="00D11795">
        <w:rPr>
          <w:rFonts w:ascii="Bierstadt" w:hAnsi="Bierstadt"/>
        </w:rPr>
        <w:t xml:space="preserve">La primera </w:t>
      </w:r>
      <w:r w:rsidR="00C475CE">
        <w:rPr>
          <w:rFonts w:ascii="Bierstadt" w:hAnsi="Bierstadt"/>
        </w:rPr>
        <w:t>J</w:t>
      </w:r>
      <w:r w:rsidRPr="00D11795">
        <w:rPr>
          <w:rFonts w:ascii="Bierstadt" w:hAnsi="Bierstadt"/>
        </w:rPr>
        <w:t xml:space="preserve">ornada del Observatorio Ramón y Cajal de Reestructuraciones e Insolvencias destacó la importancia de continuar avanzando hacia un marco normativo que combine flexibilidad con control, preservando el equilibrio entre las partes involucradas en los </w:t>
      </w:r>
      <w:r w:rsidR="00C475CE">
        <w:rPr>
          <w:rFonts w:ascii="Bierstadt" w:hAnsi="Bierstadt"/>
        </w:rPr>
        <w:t>P</w:t>
      </w:r>
      <w:r w:rsidRPr="00D11795">
        <w:rPr>
          <w:rFonts w:ascii="Bierstadt" w:hAnsi="Bierstadt"/>
        </w:rPr>
        <w:t xml:space="preserve">lanes de </w:t>
      </w:r>
      <w:r w:rsidR="00C475CE">
        <w:rPr>
          <w:rFonts w:ascii="Bierstadt" w:hAnsi="Bierstadt"/>
        </w:rPr>
        <w:t>R</w:t>
      </w:r>
      <w:r w:rsidRPr="00D11795">
        <w:rPr>
          <w:rFonts w:ascii="Bierstadt" w:hAnsi="Bierstadt"/>
        </w:rPr>
        <w:t xml:space="preserve">eestructuración. Tras dos años de la reforma de la Ley Concursal, se evidencian logros importantes, como el cambio cultural hacia una mayor aceptación del fracaso empresarial y la priorización de la continuidad empresarial frente a la liquidación. Sin embargo, persisten desafíos significativos que limitan la efectividad de este marco, como la lentitud judicial, la falta de unificación jurisprudencial y las dificultades técnicas en la implementación de los </w:t>
      </w:r>
      <w:r w:rsidR="00C475CE">
        <w:rPr>
          <w:rFonts w:ascii="Bierstadt" w:hAnsi="Bierstadt"/>
        </w:rPr>
        <w:t>P</w:t>
      </w:r>
      <w:r w:rsidRPr="00D11795">
        <w:rPr>
          <w:rFonts w:ascii="Bierstadt" w:hAnsi="Bierstadt"/>
        </w:rPr>
        <w:t>lanes.</w:t>
      </w:r>
    </w:p>
    <w:p w14:paraId="372A1A03" w14:textId="77777777" w:rsidR="00D11795" w:rsidRPr="00D11795" w:rsidRDefault="00D11795" w:rsidP="00D11795">
      <w:pPr>
        <w:spacing w:after="0" w:line="312" w:lineRule="auto"/>
        <w:jc w:val="both"/>
        <w:rPr>
          <w:rFonts w:ascii="Bierstadt" w:hAnsi="Bierstadt"/>
        </w:rPr>
      </w:pPr>
    </w:p>
    <w:p w14:paraId="65657AFB" w14:textId="302E6E53" w:rsidR="00D11795" w:rsidRDefault="00D11795" w:rsidP="00D11795">
      <w:pPr>
        <w:spacing w:after="0" w:line="312" w:lineRule="auto"/>
        <w:jc w:val="both"/>
        <w:rPr>
          <w:rFonts w:ascii="Bierstadt" w:hAnsi="Bierstadt"/>
        </w:rPr>
      </w:pPr>
      <w:r w:rsidRPr="00D11795">
        <w:rPr>
          <w:rFonts w:ascii="Bierstadt" w:hAnsi="Bierstadt"/>
        </w:rPr>
        <w:t>Propuestas de futuro</w:t>
      </w:r>
      <w:r w:rsidR="00D83670">
        <w:rPr>
          <w:rFonts w:ascii="Bierstadt" w:hAnsi="Bierstadt"/>
        </w:rPr>
        <w:t>:</w:t>
      </w:r>
    </w:p>
    <w:p w14:paraId="2FCA8D75" w14:textId="77777777" w:rsidR="00D11795" w:rsidRPr="00D11795" w:rsidRDefault="00D11795" w:rsidP="00D11795">
      <w:pPr>
        <w:spacing w:after="0" w:line="312" w:lineRule="auto"/>
        <w:jc w:val="both"/>
        <w:rPr>
          <w:rFonts w:ascii="Bierstadt" w:hAnsi="Bierstadt"/>
        </w:rPr>
      </w:pPr>
    </w:p>
    <w:p w14:paraId="012BDEFB" w14:textId="4159F1AF" w:rsidR="00D11795" w:rsidRPr="00D11795" w:rsidRDefault="00D11795" w:rsidP="00D11795">
      <w:pPr>
        <w:pStyle w:val="Prrafodelista"/>
        <w:numPr>
          <w:ilvl w:val="0"/>
          <w:numId w:val="2"/>
        </w:numPr>
        <w:spacing w:after="0" w:line="312" w:lineRule="auto"/>
        <w:jc w:val="both"/>
        <w:rPr>
          <w:rFonts w:ascii="Bierstadt" w:hAnsi="Bierstadt"/>
          <w:b/>
          <w:bCs/>
        </w:rPr>
      </w:pPr>
      <w:r w:rsidRPr="00D11795">
        <w:rPr>
          <w:rFonts w:ascii="Bierstadt" w:hAnsi="Bierstadt"/>
          <w:b/>
          <w:bCs/>
        </w:rPr>
        <w:t>Fortalecimiento del control judicial</w:t>
      </w:r>
    </w:p>
    <w:p w14:paraId="5E56F42F" w14:textId="77777777" w:rsidR="00D11795" w:rsidRPr="00D11795" w:rsidRDefault="00D11795" w:rsidP="00D11795">
      <w:pPr>
        <w:spacing w:after="0" w:line="312" w:lineRule="auto"/>
        <w:jc w:val="both"/>
        <w:rPr>
          <w:rFonts w:ascii="Bierstadt" w:hAnsi="Bierstadt"/>
        </w:rPr>
      </w:pPr>
    </w:p>
    <w:p w14:paraId="0B15F6F6" w14:textId="48784038" w:rsidR="00D11795" w:rsidRPr="00D11795" w:rsidRDefault="00D11795" w:rsidP="00D11795">
      <w:pPr>
        <w:spacing w:after="0" w:line="312" w:lineRule="auto"/>
        <w:jc w:val="both"/>
        <w:rPr>
          <w:rFonts w:ascii="Bierstadt" w:hAnsi="Bierstadt"/>
        </w:rPr>
      </w:pPr>
      <w:r w:rsidRPr="00D11795">
        <w:rPr>
          <w:rFonts w:ascii="Bierstadt" w:hAnsi="Bierstadt"/>
        </w:rPr>
        <w:t xml:space="preserve">Se propone un papel más activo de los </w:t>
      </w:r>
      <w:r w:rsidR="00696CE6">
        <w:rPr>
          <w:rFonts w:ascii="Bierstadt" w:hAnsi="Bierstadt"/>
        </w:rPr>
        <w:t>J</w:t>
      </w:r>
      <w:r w:rsidRPr="00D11795">
        <w:rPr>
          <w:rFonts w:ascii="Bierstadt" w:hAnsi="Bierstadt"/>
        </w:rPr>
        <w:t xml:space="preserve">ueces en aspectos críticos como el perímetro de afectación, la formación de clases y la homologación de los </w:t>
      </w:r>
      <w:r w:rsidR="00C475CE">
        <w:rPr>
          <w:rFonts w:ascii="Bierstadt" w:hAnsi="Bierstadt"/>
        </w:rPr>
        <w:t>P</w:t>
      </w:r>
      <w:r w:rsidRPr="00D11795">
        <w:rPr>
          <w:rFonts w:ascii="Bierstadt" w:hAnsi="Bierstadt"/>
        </w:rPr>
        <w:t xml:space="preserve">lanes. Un control judicial sustantivo, basado en </w:t>
      </w:r>
      <w:r w:rsidR="00C475CE">
        <w:rPr>
          <w:rFonts w:ascii="Bierstadt" w:hAnsi="Bierstadt"/>
        </w:rPr>
        <w:t xml:space="preserve">el test de resistencia, </w:t>
      </w:r>
      <w:r w:rsidRPr="00D11795">
        <w:rPr>
          <w:rFonts w:ascii="Bierstadt" w:hAnsi="Bierstadt"/>
        </w:rPr>
        <w:t xml:space="preserve">principios de equidad y transparencia, contribuiría a evitar abusos y garantizaría la viabilidad de los </w:t>
      </w:r>
      <w:r w:rsidR="00C475CE">
        <w:rPr>
          <w:rFonts w:ascii="Bierstadt" w:hAnsi="Bierstadt"/>
        </w:rPr>
        <w:t>P</w:t>
      </w:r>
      <w:r w:rsidRPr="00D11795">
        <w:rPr>
          <w:rFonts w:ascii="Bierstadt" w:hAnsi="Bierstadt"/>
        </w:rPr>
        <w:t xml:space="preserve">lanes de </w:t>
      </w:r>
      <w:r w:rsidR="00C475CE">
        <w:rPr>
          <w:rFonts w:ascii="Bierstadt" w:hAnsi="Bierstadt"/>
        </w:rPr>
        <w:t>R</w:t>
      </w:r>
      <w:r w:rsidRPr="00D11795">
        <w:rPr>
          <w:rFonts w:ascii="Bierstadt" w:hAnsi="Bierstadt"/>
        </w:rPr>
        <w:t>eestructuración.</w:t>
      </w:r>
    </w:p>
    <w:p w14:paraId="64B0028C" w14:textId="77777777" w:rsidR="00D11795" w:rsidRPr="00D11795" w:rsidRDefault="00D11795" w:rsidP="00D11795">
      <w:pPr>
        <w:spacing w:after="0" w:line="312" w:lineRule="auto"/>
        <w:jc w:val="both"/>
        <w:rPr>
          <w:rFonts w:ascii="Bierstadt" w:hAnsi="Bierstadt"/>
        </w:rPr>
      </w:pPr>
    </w:p>
    <w:p w14:paraId="4F5EAFA1" w14:textId="06B63870" w:rsidR="00D11795" w:rsidRPr="00D11795" w:rsidRDefault="00D11795" w:rsidP="00D11795">
      <w:pPr>
        <w:pStyle w:val="Prrafodelista"/>
        <w:numPr>
          <w:ilvl w:val="0"/>
          <w:numId w:val="2"/>
        </w:numPr>
        <w:spacing w:after="0" w:line="312" w:lineRule="auto"/>
        <w:jc w:val="both"/>
        <w:rPr>
          <w:rFonts w:ascii="Bierstadt" w:hAnsi="Bierstadt"/>
          <w:b/>
          <w:bCs/>
        </w:rPr>
      </w:pPr>
      <w:r w:rsidRPr="00D11795">
        <w:rPr>
          <w:rFonts w:ascii="Bierstadt" w:hAnsi="Bierstadt"/>
          <w:b/>
          <w:bCs/>
        </w:rPr>
        <w:t>Impulso a la formación especializada</w:t>
      </w:r>
    </w:p>
    <w:p w14:paraId="329FB378" w14:textId="77777777" w:rsidR="00D11795" w:rsidRPr="00D11795" w:rsidRDefault="00D11795" w:rsidP="00D11795">
      <w:pPr>
        <w:spacing w:after="0" w:line="312" w:lineRule="auto"/>
        <w:jc w:val="both"/>
        <w:rPr>
          <w:rFonts w:ascii="Bierstadt" w:hAnsi="Bierstadt"/>
        </w:rPr>
      </w:pPr>
    </w:p>
    <w:p w14:paraId="7E8491E5" w14:textId="09DD5FCD" w:rsidR="00D11795" w:rsidRPr="00D11795" w:rsidRDefault="00D11795" w:rsidP="00D11795">
      <w:pPr>
        <w:spacing w:after="0" w:line="312" w:lineRule="auto"/>
        <w:jc w:val="both"/>
        <w:rPr>
          <w:rFonts w:ascii="Bierstadt" w:hAnsi="Bierstadt"/>
        </w:rPr>
      </w:pPr>
      <w:r w:rsidRPr="00D11795">
        <w:rPr>
          <w:rFonts w:ascii="Bierstadt" w:hAnsi="Bierstadt"/>
        </w:rPr>
        <w:t xml:space="preserve">La complejidad técnica de los </w:t>
      </w:r>
      <w:r w:rsidR="00C475CE">
        <w:rPr>
          <w:rFonts w:ascii="Bierstadt" w:hAnsi="Bierstadt"/>
        </w:rPr>
        <w:t>P</w:t>
      </w:r>
      <w:r w:rsidRPr="00D11795">
        <w:rPr>
          <w:rFonts w:ascii="Bierstadt" w:hAnsi="Bierstadt"/>
        </w:rPr>
        <w:t xml:space="preserve">lanes de </w:t>
      </w:r>
      <w:r w:rsidR="00C475CE">
        <w:rPr>
          <w:rFonts w:ascii="Bierstadt" w:hAnsi="Bierstadt"/>
        </w:rPr>
        <w:t>R</w:t>
      </w:r>
      <w:r w:rsidRPr="00D11795">
        <w:rPr>
          <w:rFonts w:ascii="Bierstadt" w:hAnsi="Bierstadt"/>
        </w:rPr>
        <w:t>eestructuración requiere una mayor capacitación de los operadores jurídicos y económicos. Es esencial integrar esta especialización en los programas académicos y en la formación continua de los profesionales.</w:t>
      </w:r>
    </w:p>
    <w:p w14:paraId="3EDDF94D" w14:textId="77777777" w:rsidR="00D11795" w:rsidRPr="00D11795" w:rsidRDefault="00D11795" w:rsidP="00D11795">
      <w:pPr>
        <w:spacing w:after="0" w:line="312" w:lineRule="auto"/>
        <w:jc w:val="both"/>
        <w:rPr>
          <w:rFonts w:ascii="Bierstadt" w:hAnsi="Bierstadt"/>
        </w:rPr>
      </w:pPr>
    </w:p>
    <w:p w14:paraId="64B1C33B" w14:textId="1BDB299C" w:rsidR="00D11795" w:rsidRPr="00D11795" w:rsidRDefault="00D11795" w:rsidP="00D11795">
      <w:pPr>
        <w:pStyle w:val="Prrafodelista"/>
        <w:numPr>
          <w:ilvl w:val="0"/>
          <w:numId w:val="2"/>
        </w:numPr>
        <w:spacing w:after="0" w:line="312" w:lineRule="auto"/>
        <w:jc w:val="both"/>
        <w:rPr>
          <w:rFonts w:ascii="Bierstadt" w:hAnsi="Bierstadt"/>
          <w:b/>
          <w:bCs/>
        </w:rPr>
      </w:pPr>
      <w:r w:rsidRPr="00D11795">
        <w:rPr>
          <w:rFonts w:ascii="Bierstadt" w:hAnsi="Bierstadt"/>
          <w:b/>
          <w:bCs/>
        </w:rPr>
        <w:t>Contradicción previa obligatoria</w:t>
      </w:r>
    </w:p>
    <w:p w14:paraId="3663BC1C" w14:textId="77777777" w:rsidR="00D11795" w:rsidRPr="00D11795" w:rsidRDefault="00D11795" w:rsidP="00D11795">
      <w:pPr>
        <w:spacing w:after="0" w:line="312" w:lineRule="auto"/>
        <w:jc w:val="both"/>
        <w:rPr>
          <w:rFonts w:ascii="Bierstadt" w:hAnsi="Bierstadt"/>
        </w:rPr>
      </w:pPr>
    </w:p>
    <w:p w14:paraId="129B9A7C" w14:textId="77777777" w:rsidR="00D11795" w:rsidRPr="00D11795" w:rsidRDefault="00D11795" w:rsidP="00D11795">
      <w:pPr>
        <w:spacing w:after="0" w:line="312" w:lineRule="auto"/>
        <w:jc w:val="both"/>
        <w:rPr>
          <w:rFonts w:ascii="Bierstadt" w:hAnsi="Bierstadt"/>
        </w:rPr>
      </w:pPr>
      <w:r w:rsidRPr="00D11795">
        <w:rPr>
          <w:rFonts w:ascii="Bierstadt" w:hAnsi="Bierstadt"/>
        </w:rPr>
        <w:t>La introducción de un trámite preceptivo de contradicción previa permitiría resolver conflictos desde las primeras etapas del proceso, reduciendo litigiosidad posterior y mejorando la eficiencia del sistema.</w:t>
      </w:r>
    </w:p>
    <w:p w14:paraId="768237AC" w14:textId="77777777" w:rsidR="00D11795" w:rsidRPr="00D11795" w:rsidRDefault="00D11795" w:rsidP="00D11795">
      <w:pPr>
        <w:spacing w:after="0" w:line="312" w:lineRule="auto"/>
        <w:jc w:val="both"/>
        <w:rPr>
          <w:rFonts w:ascii="Bierstadt" w:hAnsi="Bierstadt"/>
        </w:rPr>
      </w:pPr>
    </w:p>
    <w:p w14:paraId="7C9EBD43" w14:textId="7AC8D213" w:rsidR="00D11795" w:rsidRPr="00D11795" w:rsidRDefault="00D11795" w:rsidP="00D11795">
      <w:pPr>
        <w:pStyle w:val="Prrafodelista"/>
        <w:numPr>
          <w:ilvl w:val="0"/>
          <w:numId w:val="2"/>
        </w:numPr>
        <w:spacing w:after="0" w:line="312" w:lineRule="auto"/>
        <w:jc w:val="both"/>
        <w:rPr>
          <w:rFonts w:ascii="Bierstadt" w:hAnsi="Bierstadt"/>
          <w:b/>
          <w:bCs/>
        </w:rPr>
      </w:pPr>
      <w:r w:rsidRPr="00D11795">
        <w:rPr>
          <w:rFonts w:ascii="Bierstadt" w:hAnsi="Bierstadt"/>
          <w:b/>
          <w:bCs/>
        </w:rPr>
        <w:t xml:space="preserve">Regulación de los </w:t>
      </w:r>
      <w:r w:rsidR="00C475CE">
        <w:rPr>
          <w:rFonts w:ascii="Bierstadt" w:hAnsi="Bierstadt"/>
          <w:b/>
          <w:bCs/>
        </w:rPr>
        <w:t>P</w:t>
      </w:r>
      <w:r w:rsidRPr="00D11795">
        <w:rPr>
          <w:rFonts w:ascii="Bierstadt" w:hAnsi="Bierstadt"/>
          <w:b/>
          <w:bCs/>
        </w:rPr>
        <w:t>lanes competidores</w:t>
      </w:r>
    </w:p>
    <w:p w14:paraId="2597EE64" w14:textId="77777777" w:rsidR="00D11795" w:rsidRPr="00D11795" w:rsidRDefault="00D11795" w:rsidP="00D11795">
      <w:pPr>
        <w:spacing w:after="0" w:line="312" w:lineRule="auto"/>
        <w:jc w:val="both"/>
        <w:rPr>
          <w:rFonts w:ascii="Bierstadt" w:hAnsi="Bierstadt"/>
        </w:rPr>
      </w:pPr>
    </w:p>
    <w:p w14:paraId="70CFB63D" w14:textId="60675D10" w:rsidR="00D11795" w:rsidRPr="00D11795" w:rsidRDefault="00D11795" w:rsidP="00D11795">
      <w:pPr>
        <w:spacing w:after="0" w:line="312" w:lineRule="auto"/>
        <w:jc w:val="both"/>
        <w:rPr>
          <w:rFonts w:ascii="Bierstadt" w:hAnsi="Bierstadt"/>
        </w:rPr>
      </w:pPr>
      <w:r w:rsidRPr="00D11795">
        <w:rPr>
          <w:rFonts w:ascii="Bierstadt" w:hAnsi="Bierstadt"/>
        </w:rPr>
        <w:t xml:space="preserve">Es necesario establecer límites claros sobre el número y las condiciones de admisión de </w:t>
      </w:r>
      <w:r w:rsidR="00C475CE">
        <w:rPr>
          <w:rFonts w:ascii="Bierstadt" w:hAnsi="Bierstadt"/>
        </w:rPr>
        <w:t>P</w:t>
      </w:r>
      <w:r w:rsidRPr="00D11795">
        <w:rPr>
          <w:rFonts w:ascii="Bierstadt" w:hAnsi="Bierstadt"/>
        </w:rPr>
        <w:t xml:space="preserve">lanes competidores, asegurando que estos fomenten soluciones óptimas sin generar dilaciones innecesarias. La suspensión de la tramitación de </w:t>
      </w:r>
      <w:r w:rsidR="00C475CE">
        <w:rPr>
          <w:rFonts w:ascii="Bierstadt" w:hAnsi="Bierstadt"/>
        </w:rPr>
        <w:t>P</w:t>
      </w:r>
      <w:r w:rsidRPr="00D11795">
        <w:rPr>
          <w:rFonts w:ascii="Bierstadt" w:hAnsi="Bierstadt"/>
        </w:rPr>
        <w:t>lanes sucesivos hasta la resolución del primero podría ser una medida efectiva.</w:t>
      </w:r>
    </w:p>
    <w:p w14:paraId="6B8F2896" w14:textId="77777777" w:rsidR="00D11795" w:rsidRPr="00D11795" w:rsidRDefault="00D11795" w:rsidP="00D11795">
      <w:pPr>
        <w:spacing w:after="0" w:line="312" w:lineRule="auto"/>
        <w:jc w:val="both"/>
        <w:rPr>
          <w:rFonts w:ascii="Bierstadt" w:hAnsi="Bierstadt"/>
        </w:rPr>
      </w:pPr>
    </w:p>
    <w:p w14:paraId="6E14E804" w14:textId="1E2B218F" w:rsidR="00D11795" w:rsidRDefault="00D11795" w:rsidP="00D11795">
      <w:pPr>
        <w:pStyle w:val="Prrafodelista"/>
        <w:numPr>
          <w:ilvl w:val="0"/>
          <w:numId w:val="2"/>
        </w:numPr>
        <w:spacing w:after="0" w:line="312" w:lineRule="auto"/>
        <w:jc w:val="both"/>
        <w:rPr>
          <w:rFonts w:ascii="Bierstadt" w:hAnsi="Bierstadt"/>
          <w:b/>
          <w:bCs/>
        </w:rPr>
      </w:pPr>
      <w:r w:rsidRPr="00D11795">
        <w:rPr>
          <w:rFonts w:ascii="Bierstadt" w:hAnsi="Bierstadt"/>
          <w:b/>
          <w:bCs/>
        </w:rPr>
        <w:t>Participación activa de los fondos de inversión</w:t>
      </w:r>
    </w:p>
    <w:p w14:paraId="00E770F2" w14:textId="77777777" w:rsidR="00696CE6" w:rsidRPr="00696CE6" w:rsidRDefault="00696CE6" w:rsidP="00696CE6">
      <w:pPr>
        <w:spacing w:after="0" w:line="312" w:lineRule="auto"/>
        <w:jc w:val="both"/>
        <w:rPr>
          <w:rFonts w:ascii="Bierstadt" w:hAnsi="Bierstadt"/>
          <w:b/>
          <w:bCs/>
        </w:rPr>
      </w:pPr>
    </w:p>
    <w:p w14:paraId="3315E674" w14:textId="77777777" w:rsidR="00D11795" w:rsidRPr="00D11795" w:rsidRDefault="00D11795" w:rsidP="00D11795">
      <w:pPr>
        <w:spacing w:after="0" w:line="312" w:lineRule="auto"/>
        <w:jc w:val="both"/>
        <w:rPr>
          <w:rFonts w:ascii="Bierstadt" w:hAnsi="Bierstadt"/>
        </w:rPr>
      </w:pPr>
      <w:r w:rsidRPr="00D11795">
        <w:rPr>
          <w:rFonts w:ascii="Bierstadt" w:hAnsi="Bierstadt"/>
        </w:rPr>
        <w:t>Los fondos de inversión tienen el potencial de ser aliados clave en la reestructuración empresarial, aportando capital y experiencia estratégica. Sin embargo, se requiere un marco normativo claro que establezca salvaguardias para evitar desequilibrios y garantizar una distribución justa de riesgos y beneficios.</w:t>
      </w:r>
    </w:p>
    <w:p w14:paraId="6A36B380" w14:textId="77777777" w:rsidR="00D11795" w:rsidRPr="00D11795" w:rsidRDefault="00D11795" w:rsidP="00D11795">
      <w:pPr>
        <w:spacing w:after="0" w:line="312" w:lineRule="auto"/>
        <w:jc w:val="both"/>
        <w:rPr>
          <w:rFonts w:ascii="Bierstadt" w:hAnsi="Bierstadt"/>
        </w:rPr>
      </w:pPr>
    </w:p>
    <w:p w14:paraId="4F911AA7" w14:textId="22E33947" w:rsidR="00D11795" w:rsidRPr="00D11795" w:rsidRDefault="00D11795" w:rsidP="00D11795">
      <w:pPr>
        <w:pStyle w:val="Prrafodelista"/>
        <w:numPr>
          <w:ilvl w:val="0"/>
          <w:numId w:val="2"/>
        </w:numPr>
        <w:spacing w:after="0" w:line="312" w:lineRule="auto"/>
        <w:jc w:val="both"/>
        <w:rPr>
          <w:rFonts w:ascii="Bierstadt" w:hAnsi="Bierstadt"/>
          <w:b/>
          <w:bCs/>
        </w:rPr>
      </w:pPr>
      <w:r w:rsidRPr="00D11795">
        <w:rPr>
          <w:rFonts w:ascii="Bierstadt" w:hAnsi="Bierstadt"/>
          <w:b/>
          <w:bCs/>
        </w:rPr>
        <w:t xml:space="preserve">Adaptación a las </w:t>
      </w:r>
      <w:proofErr w:type="spellStart"/>
      <w:r w:rsidRPr="00D11795">
        <w:rPr>
          <w:rFonts w:ascii="Bierstadt" w:hAnsi="Bierstadt"/>
          <w:b/>
          <w:bCs/>
        </w:rPr>
        <w:t>micropymes</w:t>
      </w:r>
      <w:proofErr w:type="spellEnd"/>
    </w:p>
    <w:p w14:paraId="7F693DE5" w14:textId="77777777" w:rsidR="00D11795" w:rsidRPr="00D11795" w:rsidRDefault="00D11795" w:rsidP="00D11795">
      <w:pPr>
        <w:spacing w:after="0" w:line="312" w:lineRule="auto"/>
        <w:jc w:val="both"/>
        <w:rPr>
          <w:rFonts w:ascii="Bierstadt" w:hAnsi="Bierstadt"/>
        </w:rPr>
      </w:pPr>
    </w:p>
    <w:p w14:paraId="0CB85AC1" w14:textId="77777777" w:rsidR="00D11795" w:rsidRPr="00D11795" w:rsidRDefault="00D11795" w:rsidP="00D11795">
      <w:pPr>
        <w:spacing w:after="0" w:line="312" w:lineRule="auto"/>
        <w:jc w:val="both"/>
        <w:rPr>
          <w:rFonts w:ascii="Bierstadt" w:hAnsi="Bierstadt"/>
        </w:rPr>
      </w:pPr>
      <w:r w:rsidRPr="00D11795">
        <w:rPr>
          <w:rFonts w:ascii="Bierstadt" w:hAnsi="Bierstadt"/>
        </w:rPr>
        <w:t xml:space="preserve">Dado que más del 90% del tejido empresarial español está compuesto por </w:t>
      </w:r>
      <w:proofErr w:type="spellStart"/>
      <w:r w:rsidRPr="00D11795">
        <w:rPr>
          <w:rFonts w:ascii="Bierstadt" w:hAnsi="Bierstadt"/>
        </w:rPr>
        <w:t>micropymes</w:t>
      </w:r>
      <w:proofErr w:type="spellEnd"/>
      <w:r w:rsidRPr="00D11795">
        <w:rPr>
          <w:rFonts w:ascii="Bierstadt" w:hAnsi="Bierstadt"/>
        </w:rPr>
        <w:t>, es fundamental diseñar mecanismos adaptados a sus características específicas, promoviendo que sigan el ejemplo de las grandes empresas en la búsqueda de soluciones sostenibles.</w:t>
      </w:r>
    </w:p>
    <w:p w14:paraId="177E48AD" w14:textId="77777777" w:rsidR="00D11795" w:rsidRPr="00D11795" w:rsidRDefault="00D11795" w:rsidP="00D11795">
      <w:pPr>
        <w:spacing w:after="0" w:line="312" w:lineRule="auto"/>
        <w:jc w:val="both"/>
        <w:rPr>
          <w:rFonts w:ascii="Bierstadt" w:hAnsi="Bierstadt"/>
        </w:rPr>
      </w:pPr>
    </w:p>
    <w:p w14:paraId="62B6CEEA" w14:textId="5E95F1A9" w:rsidR="00D11795" w:rsidRPr="00D11795" w:rsidRDefault="00D11795" w:rsidP="00D11795">
      <w:pPr>
        <w:pStyle w:val="Prrafodelista"/>
        <w:numPr>
          <w:ilvl w:val="0"/>
          <w:numId w:val="2"/>
        </w:numPr>
        <w:spacing w:after="0" w:line="312" w:lineRule="auto"/>
        <w:jc w:val="both"/>
        <w:rPr>
          <w:rFonts w:ascii="Bierstadt" w:hAnsi="Bierstadt"/>
          <w:b/>
          <w:bCs/>
        </w:rPr>
      </w:pPr>
      <w:r w:rsidRPr="00D11795">
        <w:rPr>
          <w:rFonts w:ascii="Bierstadt" w:hAnsi="Bierstadt"/>
          <w:b/>
          <w:bCs/>
        </w:rPr>
        <w:t>Unificación jurisprudencial</w:t>
      </w:r>
    </w:p>
    <w:p w14:paraId="1DDB1868" w14:textId="77777777" w:rsidR="00D11795" w:rsidRPr="00D11795" w:rsidRDefault="00D11795" w:rsidP="00D11795">
      <w:pPr>
        <w:spacing w:after="0" w:line="312" w:lineRule="auto"/>
        <w:jc w:val="both"/>
        <w:rPr>
          <w:rFonts w:ascii="Bierstadt" w:hAnsi="Bierstadt"/>
        </w:rPr>
      </w:pPr>
    </w:p>
    <w:p w14:paraId="1A2CDE72" w14:textId="75174361" w:rsidR="00D11795" w:rsidRPr="00D11795" w:rsidRDefault="00D11795" w:rsidP="00D11795">
      <w:pPr>
        <w:spacing w:after="0" w:line="312" w:lineRule="auto"/>
        <w:jc w:val="both"/>
        <w:rPr>
          <w:rFonts w:ascii="Bierstadt" w:hAnsi="Bierstadt"/>
        </w:rPr>
      </w:pPr>
      <w:r w:rsidRPr="00D11795">
        <w:rPr>
          <w:rFonts w:ascii="Bierstadt" w:hAnsi="Bierstadt"/>
        </w:rPr>
        <w:t>Es prioritario trabajar en la creación de criterios homogéneos</w:t>
      </w:r>
      <w:r w:rsidR="00696CE6">
        <w:rPr>
          <w:rFonts w:ascii="Bierstadt" w:hAnsi="Bierstadt"/>
        </w:rPr>
        <w:t xml:space="preserve"> en Juzgados Mercantiles y Audiencias Provinciales</w:t>
      </w:r>
      <w:r w:rsidRPr="00D11795">
        <w:rPr>
          <w:rFonts w:ascii="Bierstadt" w:hAnsi="Bierstadt"/>
        </w:rPr>
        <w:t xml:space="preserve"> en la interpretación de la normativa, fomentando la seguridad jurídica y facilitando la labor de los operadores.</w:t>
      </w:r>
    </w:p>
    <w:p w14:paraId="465E836C" w14:textId="77777777" w:rsidR="00D11795" w:rsidRPr="00D11795" w:rsidRDefault="00D11795" w:rsidP="00D11795">
      <w:pPr>
        <w:spacing w:after="0" w:line="312" w:lineRule="auto"/>
        <w:jc w:val="both"/>
        <w:rPr>
          <w:rFonts w:ascii="Bierstadt" w:hAnsi="Bierstadt"/>
        </w:rPr>
      </w:pPr>
    </w:p>
    <w:p w14:paraId="044CE3E6" w14:textId="1880E4B7" w:rsidR="00D11795" w:rsidRDefault="00D11795" w:rsidP="00D11795">
      <w:pPr>
        <w:spacing w:after="0" w:line="312" w:lineRule="auto"/>
        <w:jc w:val="both"/>
      </w:pPr>
    </w:p>
    <w:sectPr w:rsidR="00D11795" w:rsidSect="00A9428B">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FB083" w14:textId="77777777" w:rsidR="004E6852" w:rsidRDefault="004E6852" w:rsidP="00A9428B">
      <w:pPr>
        <w:spacing w:after="0" w:line="240" w:lineRule="auto"/>
      </w:pPr>
      <w:r>
        <w:separator/>
      </w:r>
    </w:p>
  </w:endnote>
  <w:endnote w:type="continuationSeparator" w:id="0">
    <w:p w14:paraId="76D7E944" w14:textId="77777777" w:rsidR="004E6852" w:rsidRDefault="004E6852" w:rsidP="00A9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Bierstadt">
    <w:altName w:val="Bierstadt"/>
    <w:charset w:val="00"/>
    <w:family w:val="swiss"/>
    <w:pitch w:val="variable"/>
    <w:sig w:usb0="80000003" w:usb1="00000001"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AE51D" w14:textId="77777777" w:rsidR="004E6852" w:rsidRDefault="004E6852" w:rsidP="00A9428B">
      <w:pPr>
        <w:spacing w:after="0" w:line="240" w:lineRule="auto"/>
      </w:pPr>
      <w:r>
        <w:separator/>
      </w:r>
    </w:p>
  </w:footnote>
  <w:footnote w:type="continuationSeparator" w:id="0">
    <w:p w14:paraId="477B932D" w14:textId="77777777" w:rsidR="004E6852" w:rsidRDefault="004E6852" w:rsidP="00A942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1C900" w14:textId="4D526654" w:rsidR="00A9428B" w:rsidRDefault="00A9428B">
    <w:pPr>
      <w:pStyle w:val="Encabezado"/>
    </w:pPr>
    <w:r>
      <w:rPr>
        <w:noProof/>
        <w:lang w:eastAsia="es-ES"/>
      </w:rPr>
      <w:drawing>
        <wp:anchor distT="0" distB="0" distL="114300" distR="114300" simplePos="0" relativeHeight="251659264" behindDoc="0" locked="0" layoutInCell="1" allowOverlap="1" wp14:anchorId="6D2C8578" wp14:editId="7788E67C">
          <wp:simplePos x="0" y="0"/>
          <wp:positionH relativeFrom="margin">
            <wp:align>left</wp:align>
          </wp:positionH>
          <wp:positionV relativeFrom="paragraph">
            <wp:posOffset>-87630</wp:posOffset>
          </wp:positionV>
          <wp:extent cx="1226820" cy="533400"/>
          <wp:effectExtent l="0" t="0" r="0" b="0"/>
          <wp:wrapTopAndBottom/>
          <wp:docPr id="138928969" name="Imagen 1" descr="Ramón y Cajal Abogados en LinkedIn: Planes de reestructuración: experiencia  práctica, aspectos a mejora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ón y Cajal Abogados en LinkedIn: Planes de reestructuración: experiencia  práctica, aspectos a mejorar 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53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15825"/>
    <w:multiLevelType w:val="multilevel"/>
    <w:tmpl w:val="8ED4E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C265A1"/>
    <w:multiLevelType w:val="hybridMultilevel"/>
    <w:tmpl w:val="35D829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795"/>
    <w:rsid w:val="00172438"/>
    <w:rsid w:val="001A4963"/>
    <w:rsid w:val="003614E5"/>
    <w:rsid w:val="00387B26"/>
    <w:rsid w:val="00407E25"/>
    <w:rsid w:val="004849E0"/>
    <w:rsid w:val="004E6852"/>
    <w:rsid w:val="00685F81"/>
    <w:rsid w:val="00696CE6"/>
    <w:rsid w:val="00765CB0"/>
    <w:rsid w:val="007E5C61"/>
    <w:rsid w:val="008945B5"/>
    <w:rsid w:val="00A9428B"/>
    <w:rsid w:val="00B50CF3"/>
    <w:rsid w:val="00BE0042"/>
    <w:rsid w:val="00C475CE"/>
    <w:rsid w:val="00C86052"/>
    <w:rsid w:val="00D04B8A"/>
    <w:rsid w:val="00D11795"/>
    <w:rsid w:val="00D75BCC"/>
    <w:rsid w:val="00D83670"/>
    <w:rsid w:val="00DD6F8F"/>
    <w:rsid w:val="00E579C7"/>
    <w:rsid w:val="00E93EA3"/>
    <w:rsid w:val="00FB18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F9DF8"/>
  <w15:chartTrackingRefBased/>
  <w15:docId w15:val="{B1C229E6-326E-4E46-8E29-D9E899193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95"/>
  </w:style>
  <w:style w:type="paragraph" w:styleId="Ttulo1">
    <w:name w:val="heading 1"/>
    <w:basedOn w:val="Normal"/>
    <w:next w:val="Normal"/>
    <w:link w:val="Ttulo1Car"/>
    <w:uiPriority w:val="9"/>
    <w:qFormat/>
    <w:rsid w:val="00D117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117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1179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1179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1179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1179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1179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1179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1179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1179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1179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1179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1179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1179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1179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1179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1179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11795"/>
    <w:rPr>
      <w:rFonts w:eastAsiaTheme="majorEastAsia" w:cstheme="majorBidi"/>
      <w:color w:val="272727" w:themeColor="text1" w:themeTint="D8"/>
    </w:rPr>
  </w:style>
  <w:style w:type="paragraph" w:styleId="Puesto">
    <w:name w:val="Title"/>
    <w:basedOn w:val="Normal"/>
    <w:next w:val="Normal"/>
    <w:link w:val="PuestoCar"/>
    <w:uiPriority w:val="10"/>
    <w:qFormat/>
    <w:rsid w:val="00D117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179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1179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1179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11795"/>
    <w:pPr>
      <w:spacing w:before="160"/>
      <w:jc w:val="center"/>
    </w:pPr>
    <w:rPr>
      <w:i/>
      <w:iCs/>
      <w:color w:val="404040" w:themeColor="text1" w:themeTint="BF"/>
    </w:rPr>
  </w:style>
  <w:style w:type="character" w:customStyle="1" w:styleId="CitaCar">
    <w:name w:val="Cita Car"/>
    <w:basedOn w:val="Fuentedeprrafopredeter"/>
    <w:link w:val="Cita"/>
    <w:uiPriority w:val="29"/>
    <w:rsid w:val="00D11795"/>
    <w:rPr>
      <w:i/>
      <w:iCs/>
      <w:color w:val="404040" w:themeColor="text1" w:themeTint="BF"/>
    </w:rPr>
  </w:style>
  <w:style w:type="paragraph" w:styleId="Prrafodelista">
    <w:name w:val="List Paragraph"/>
    <w:basedOn w:val="Normal"/>
    <w:uiPriority w:val="34"/>
    <w:qFormat/>
    <w:rsid w:val="00D11795"/>
    <w:pPr>
      <w:ind w:left="720"/>
      <w:contextualSpacing/>
    </w:pPr>
  </w:style>
  <w:style w:type="character" w:styleId="nfasisintenso">
    <w:name w:val="Intense Emphasis"/>
    <w:basedOn w:val="Fuentedeprrafopredeter"/>
    <w:uiPriority w:val="21"/>
    <w:qFormat/>
    <w:rsid w:val="00D11795"/>
    <w:rPr>
      <w:i/>
      <w:iCs/>
      <w:color w:val="0F4761" w:themeColor="accent1" w:themeShade="BF"/>
    </w:rPr>
  </w:style>
  <w:style w:type="paragraph" w:styleId="Citadestacada">
    <w:name w:val="Intense Quote"/>
    <w:basedOn w:val="Normal"/>
    <w:next w:val="Normal"/>
    <w:link w:val="CitadestacadaCar"/>
    <w:uiPriority w:val="30"/>
    <w:qFormat/>
    <w:rsid w:val="00D117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11795"/>
    <w:rPr>
      <w:i/>
      <w:iCs/>
      <w:color w:val="0F4761" w:themeColor="accent1" w:themeShade="BF"/>
    </w:rPr>
  </w:style>
  <w:style w:type="character" w:styleId="Referenciaintensa">
    <w:name w:val="Intense Reference"/>
    <w:basedOn w:val="Fuentedeprrafopredeter"/>
    <w:uiPriority w:val="32"/>
    <w:qFormat/>
    <w:rsid w:val="00D11795"/>
    <w:rPr>
      <w:b/>
      <w:bCs/>
      <w:smallCaps/>
      <w:color w:val="0F4761" w:themeColor="accent1" w:themeShade="BF"/>
      <w:spacing w:val="5"/>
    </w:rPr>
  </w:style>
  <w:style w:type="character" w:styleId="Hipervnculo">
    <w:name w:val="Hyperlink"/>
    <w:basedOn w:val="Fuentedeprrafopredeter"/>
    <w:uiPriority w:val="99"/>
    <w:unhideWhenUsed/>
    <w:rsid w:val="00D11795"/>
    <w:rPr>
      <w:color w:val="467886" w:themeColor="hyperlink"/>
      <w:u w:val="single"/>
    </w:rPr>
  </w:style>
  <w:style w:type="paragraph" w:styleId="Encabezado">
    <w:name w:val="header"/>
    <w:basedOn w:val="Normal"/>
    <w:link w:val="EncabezadoCar"/>
    <w:uiPriority w:val="99"/>
    <w:unhideWhenUsed/>
    <w:rsid w:val="00A942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428B"/>
  </w:style>
  <w:style w:type="paragraph" w:styleId="Piedepgina">
    <w:name w:val="footer"/>
    <w:basedOn w:val="Normal"/>
    <w:link w:val="PiedepginaCar"/>
    <w:uiPriority w:val="99"/>
    <w:unhideWhenUsed/>
    <w:rsid w:val="00A942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4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92232">
      <w:bodyDiv w:val="1"/>
      <w:marLeft w:val="0"/>
      <w:marRight w:val="0"/>
      <w:marTop w:val="0"/>
      <w:marBottom w:val="0"/>
      <w:divBdr>
        <w:top w:val="none" w:sz="0" w:space="0" w:color="auto"/>
        <w:left w:val="none" w:sz="0" w:space="0" w:color="auto"/>
        <w:bottom w:val="none" w:sz="0" w:space="0" w:color="auto"/>
        <w:right w:val="none" w:sz="0" w:space="0" w:color="auto"/>
      </w:divBdr>
    </w:div>
    <w:div w:id="133811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f34b0ab-fcf3-468f-92f9-73fe19b53e00}" enabled="1" method="Standard" siteId="{bcd2701c-aa9b-4d12-ba20-f3e3b83070c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8</Pages>
  <Words>2511</Words>
  <Characters>13813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Urrizburu</dc:creator>
  <cp:keywords/>
  <dc:description/>
  <cp:lastModifiedBy>Cuenta Microsoft</cp:lastModifiedBy>
  <cp:revision>2</cp:revision>
  <dcterms:created xsi:type="dcterms:W3CDTF">2024-12-10T09:52:00Z</dcterms:created>
  <dcterms:modified xsi:type="dcterms:W3CDTF">2024-12-10T09:52:00Z</dcterms:modified>
</cp:coreProperties>
</file>